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4B0" w:rsidRDefault="00FA14B0" w:rsidP="00FA14B0">
      <w:pPr>
        <w:pStyle w:val="Default"/>
        <w:jc w:val="center"/>
        <w:rPr>
          <w:rFonts w:ascii="Calibri Light" w:hAnsi="Calibri Light"/>
          <w:b/>
          <w:sz w:val="36"/>
          <w:szCs w:val="36"/>
        </w:rPr>
      </w:pPr>
      <w:r>
        <w:rPr>
          <w:rFonts w:ascii="Calibri Light" w:hAnsi="Calibri Light"/>
          <w:b/>
          <w:sz w:val="36"/>
          <w:szCs w:val="36"/>
        </w:rPr>
        <w:t>NIST Big Data Public Working Group (NBD-PWG)</w:t>
      </w:r>
    </w:p>
    <w:p w:rsidR="00FA14B0" w:rsidRDefault="00FA14B0" w:rsidP="00FA14B0">
      <w:pPr>
        <w:pStyle w:val="Default"/>
        <w:jc w:val="center"/>
        <w:rPr>
          <w:rFonts w:ascii="Calibri Light" w:hAnsi="Calibri Light"/>
          <w:b/>
          <w:sz w:val="44"/>
          <w:szCs w:val="44"/>
        </w:rPr>
      </w:pPr>
      <w:r>
        <w:rPr>
          <w:rFonts w:ascii="Calibri Light" w:hAnsi="Calibri Light"/>
          <w:b/>
          <w:sz w:val="28"/>
          <w:szCs w:val="28"/>
        </w:rPr>
        <w:t>NBD-PWD-2016/</w:t>
      </w:r>
      <w:r w:rsidR="00DC3480">
        <w:rPr>
          <w:rFonts w:ascii="Calibri Light" w:hAnsi="Calibri Light"/>
          <w:b/>
          <w:color w:val="FF0000"/>
          <w:sz w:val="44"/>
          <w:szCs w:val="44"/>
        </w:rPr>
        <w:t>M0555</w:t>
      </w:r>
      <w:bookmarkStart w:id="0" w:name="_GoBack"/>
      <w:bookmarkEnd w:id="0"/>
    </w:p>
    <w:p w:rsidR="00FA14B0" w:rsidRDefault="00FA14B0" w:rsidP="00FA14B0">
      <w:pPr>
        <w:pStyle w:val="Default"/>
        <w:rPr>
          <w:rFonts w:ascii="Calibri Light" w:hAnsi="Calibri Light"/>
          <w:b/>
          <w:sz w:val="28"/>
          <w:szCs w:val="28"/>
        </w:rPr>
      </w:pPr>
    </w:p>
    <w:p w:rsidR="00FA14B0" w:rsidRDefault="00FA14B0" w:rsidP="00FA14B0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Source:</w:t>
      </w:r>
      <w:r>
        <w:rPr>
          <w:rFonts w:ascii="Calibri Light" w:hAnsi="Calibri Light"/>
          <w:b/>
        </w:rPr>
        <w:tab/>
        <w:t xml:space="preserve">NBD-PWG </w:t>
      </w:r>
    </w:p>
    <w:p w:rsidR="00FA14B0" w:rsidRDefault="00FA14B0" w:rsidP="00FA14B0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Status:</w:t>
      </w:r>
      <w:r>
        <w:rPr>
          <w:rFonts w:ascii="Calibri Light" w:hAnsi="Calibri Light"/>
          <w:b/>
        </w:rPr>
        <w:tab/>
        <w:t>Draft</w:t>
      </w:r>
    </w:p>
    <w:p w:rsidR="00FA14B0" w:rsidRDefault="00FA14B0" w:rsidP="00FA14B0">
      <w:pPr>
        <w:tabs>
          <w:tab w:val="left" w:pos="1134"/>
        </w:tabs>
        <w:suppressAutoHyphens/>
        <w:spacing w:line="360" w:lineRule="auto"/>
        <w:jc w:val="both"/>
        <w:rPr>
          <w:rFonts w:ascii="Calibri Light" w:hAnsi="Calibri Light"/>
          <w:b/>
          <w:szCs w:val="20"/>
        </w:rPr>
      </w:pPr>
      <w:r>
        <w:rPr>
          <w:rFonts w:ascii="Calibri Light" w:hAnsi="Calibri Light"/>
          <w:b/>
        </w:rPr>
        <w:t>Title:</w:t>
      </w:r>
      <w:r>
        <w:rPr>
          <w:rFonts w:ascii="Calibri Light" w:hAnsi="Calibri Light"/>
          <w:b/>
        </w:rPr>
        <w:tab/>
        <w:t>Web chat from Meeting of August 23, 2016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000000"/>
          <w:sz w:val="17"/>
          <w:szCs w:val="17"/>
        </w:rPr>
        <w:t>Chat Log   C:\underwood\gov\NIST\Big Data\</w:t>
      </w:r>
      <w:proofErr w:type="spellStart"/>
      <w:r>
        <w:rPr>
          <w:rFonts w:ascii="Segoe UI" w:hAnsi="Segoe UI" w:cs="Segoe UI"/>
          <w:b/>
          <w:bCs/>
          <w:color w:val="000000"/>
          <w:sz w:val="17"/>
          <w:szCs w:val="17"/>
        </w:rPr>
        <w:t>ChatLog</w:t>
      </w:r>
      <w:proofErr w:type="spellEnd"/>
      <w:r>
        <w:rPr>
          <w:rFonts w:ascii="Segoe UI" w:hAnsi="Segoe UI" w:cs="Segoe UI"/>
          <w:b/>
          <w:bCs/>
          <w:color w:val="000000"/>
          <w:sz w:val="17"/>
          <w:szCs w:val="17"/>
        </w:rPr>
        <w:t xml:space="preserve"> 2016_08_23 14_20.rtf</w:t>
      </w:r>
    </w:p>
    <w:p w:rsidR="00E60E38" w:rsidRDefault="00E60E38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David W. Boyd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1:00 PM: Mark - this may end up being a short meeting since we have gotten no inputs to Vol 6.    I think what we will do is bring up the latest Vol 6 and talk through the outline and what we need input on.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David W. Boyd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1:01 PM: We should also discuss how we can get more inputs/participation.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David W. Boyd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1:01 PM: Let me know when you want to start.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Mark Underwood (to David W. Boyd)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1:01 PM: Good to go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Mark Underwood (to David W. Boyd)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1:02 PM: Hi Laurie!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1:02 PM: Hi Laurie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1:10 PM: FYI https://en.wikipedia.org/wiki/Federal_enterprise_architecture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proofErr w:type="gramStart"/>
      <w:r>
        <w:rPr>
          <w:rFonts w:ascii="Segoe UI" w:hAnsi="Segoe UI" w:cs="Segoe UI"/>
          <w:b/>
          <w:bCs/>
          <w:color w:val="B63B3C"/>
          <w:sz w:val="17"/>
          <w:szCs w:val="17"/>
        </w:rPr>
        <w:t>cavan</w:t>
      </w:r>
      <w:proofErr w:type="spellEnd"/>
      <w:proofErr w:type="gramEnd"/>
      <w:r>
        <w:rPr>
          <w:rFonts w:ascii="Segoe UI" w:hAnsi="Segoe UI" w:cs="Segoe UI"/>
          <w:b/>
          <w:bCs/>
          <w:color w:val="B63B3C"/>
          <w:sz w:val="17"/>
          <w:szCs w:val="17"/>
        </w:rPr>
        <w:t xml:space="preserve">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1:16 PM: Mark did you get my text for privacy?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 xml:space="preserve">Mark Underwood (to </w:t>
      </w:r>
      <w:proofErr w:type="spellStart"/>
      <w:r>
        <w:rPr>
          <w:rFonts w:ascii="Segoe UI" w:hAnsi="Segoe UI" w:cs="Segoe UI"/>
          <w:b/>
          <w:bCs/>
          <w:color w:val="B63B3C"/>
          <w:sz w:val="17"/>
          <w:szCs w:val="17"/>
        </w:rPr>
        <w:t>cavan</w:t>
      </w:r>
      <w:proofErr w:type="spellEnd"/>
      <w:r>
        <w:rPr>
          <w:rFonts w:ascii="Segoe UI" w:hAnsi="Segoe UI" w:cs="Segoe UI"/>
          <w:b/>
          <w:bCs/>
          <w:color w:val="B63B3C"/>
          <w:sz w:val="17"/>
          <w:szCs w:val="17"/>
        </w:rPr>
        <w:t>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1:18 PM: Yep, thx, just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ack'd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it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proofErr w:type="gramStart"/>
      <w:r>
        <w:rPr>
          <w:rFonts w:ascii="Segoe UI" w:hAnsi="Segoe UI" w:cs="Segoe UI"/>
          <w:b/>
          <w:bCs/>
          <w:color w:val="B63B3C"/>
          <w:sz w:val="17"/>
          <w:szCs w:val="17"/>
        </w:rPr>
        <w:t>cavan</w:t>
      </w:r>
      <w:proofErr w:type="spellEnd"/>
      <w:proofErr w:type="gramEnd"/>
      <w:r>
        <w:rPr>
          <w:rFonts w:ascii="Segoe UI" w:hAnsi="Segoe UI" w:cs="Segoe UI"/>
          <w:b/>
          <w:bCs/>
          <w:color w:val="B63B3C"/>
          <w:sz w:val="17"/>
          <w:szCs w:val="17"/>
        </w:rPr>
        <w:t xml:space="preserve">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1:19 PM: thanks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B63B3C"/>
          <w:sz w:val="17"/>
          <w:szCs w:val="17"/>
        </w:rPr>
        <w:t>Russell Reinsch (Private)</w:t>
      </w:r>
      <w:r>
        <w:rPr>
          <w:rFonts w:ascii="Segoe UI" w:hAnsi="Segoe UI" w:cs="Segoe UI"/>
          <w:color w:val="B63B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1:20 PM: Nonsense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Russell Reinsch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1:21 PM: I also see the subject as an attribute of the data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1:22 PM: An actor in the Unified Modeling Language (UML) "specifies a role played by a user or any other system that interacts with the subject." "An Actor models a type of role played by an entity that interacts with the subject (e.g., by exchanging signals and data), but which is external to the subject."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Jude Ken-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Kwofie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1:22 PM: Is the Data Provider an aggregator data sources?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1:22 PM: Jude - that is one example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1:23 PM: Do we need to have a different role for person than is provided in this UML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def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>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Russell Reinsch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1:23 PM: Sounds like she is talking about Consumer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1:25 PM: My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intuitioin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is that attribute is closer to Ann's aim vs. role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Jude Ken-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Kwofie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1:26 PM: Mark - Thanks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1:28 PM: Trying to use "role" in this way is swimming upstream a bit vs. the usual understanding for role. 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1:28 PM: "i.e., folks using UML think they already have this covered (albeit weakly from this group's point of view)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Mark Underwood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1:35 PM: Perhaps the specific concern is whether data provider as person is different from machine/agent providers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;  the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conventional view is that they are not different.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1:37 PM: Data Provider is an empty placeholder. E.g., the stock brings the baby data.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Tim Zimmerlin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1:39 PM: In the real world, examples of data providers are the Large Hadron Collider IT system, the Hubble Space Telescope control center, London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cctv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IT system, Twitter, Web crawlers.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1:40 PM: See https://en.wikipedia.org/wiki/Attribute-Based_Access_Control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1:41 PM: Everyone should study the Dublin Core metadata. This is the single best starting point for beginners.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1:42 PM: FITS is an outstanding example for scientific images' metadata.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cavan</w:t>
      </w:r>
      <w:proofErr w:type="spellEnd"/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1:43 PM: @Tim &amp; FITS - thanks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1:44 PM: Cavan, for Census an XML schema that defines raw census metadata could combine both data and metadata in each XML document. This works very well.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Jude Ken-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Kwofie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1:44 PM: @Tim - Thanks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1:45 PM: Dave- What seems relevant for today's call is to consider how attribute ("metadata") flows between elements in the RA.  Do we think it's handled via orchestration?  E.g., how is a role- or attribute set handed off from a provider to a consumer?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lastRenderedPageBreak/>
        <w:t xml:space="preserve">David W. Boyd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1:46 PM: Yeah - I want to see a discussion about providing write ups to the three types of exchanges on the diagram.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1:47 PM: Cavan, each subsequent edit / update could reference the original version or any specific updated version, together with the updated data. Referencing whole documents by URL / URI / URN is space efficient...and avoids spreading many different copies from many different sources...to avoid such confusion.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1:52 PM: See also Audit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Jude Ken-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Kwofie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1:56 PM: is there a testing activity?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spellStart"/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cavan</w:t>
      </w:r>
      <w:proofErr w:type="spellEnd"/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1:58 PM: @Tim, I agree about somehow referencing the original (almost like a bit chain), about the URL reference, if you are dealing with private data would a URL/URI be available?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2:02 PM: There are some curiosities. ISO 42010 uses stakeholder vs. roles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2:03 PM: Mark, our world is imperfect. This is not a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greenfield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architecture.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2:05 PM: Tim - I'm trying to rule out all work that we can avoid putting on our plate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2:05 PM: Mark, Frank is going to do this work.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2:08 PM: The misgiving I have here is that the Federal reference (the five threads) have a security model; ISO 42010 does not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Mark Underwood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2:09 PM: Tim - agree; we have to bridge to the dominant frameworks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Tim Zimmerlin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2:12 PM: Note UML diagram being used in 42010 document. UML is another big standard from OMG.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2:15 PM: From current 20547-3 draft: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David W. Boyd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2:15 PM: 3.2.1.</w:t>
      </w:r>
      <w:r>
        <w:rPr>
          <w:rFonts w:ascii="Segoe UI" w:hAnsi="Segoe UI" w:cs="Segoe UI"/>
          <w:color w:val="000000"/>
          <w:sz w:val="17"/>
          <w:szCs w:val="17"/>
        </w:rPr>
        <w:tab/>
        <w:t xml:space="preserve">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reference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architecture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proofErr w:type="gramStart"/>
      <w:r>
        <w:rPr>
          <w:rFonts w:ascii="Segoe UI" w:hAnsi="Segoe UI" w:cs="Segoe UI"/>
          <w:color w:val="000000"/>
          <w:sz w:val="17"/>
          <w:szCs w:val="17"/>
        </w:rPr>
        <w:t>a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Reference Architecture is an authoritative source of information about a specific subject area that guides and constrains the instantiations of multiple architectures and solutions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 xml:space="preserve">[SOURCE: </w:t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DoD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,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xxxx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>]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David W. Boyd (to </w:t>
      </w:r>
      <w:proofErr w:type="gramStart"/>
      <w:r>
        <w:rPr>
          <w:rFonts w:ascii="Segoe UI" w:hAnsi="Segoe UI" w:cs="Segoe UI"/>
          <w:b/>
          <w:bCs/>
          <w:color w:val="3BB63C"/>
          <w:sz w:val="17"/>
          <w:szCs w:val="17"/>
        </w:rPr>
        <w:t>Everyone</w:t>
      </w:r>
      <w:proofErr w:type="gramEnd"/>
      <w:r>
        <w:rPr>
          <w:rFonts w:ascii="Segoe UI" w:hAnsi="Segoe UI" w:cs="Segoe UI"/>
          <w:b/>
          <w:bCs/>
          <w:color w:val="3BB63C"/>
          <w:sz w:val="17"/>
          <w:szCs w:val="17"/>
        </w:rPr>
        <w:t>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2:16 PM: NOTE Reference architectures generally serve as a foundation for solution architectures and may also be used for comparison and alignment of instantiations of architectures and solutions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[Editor’s note: need definitive source and need to reach out authors for ISO 42010 for reference architecture. To consider adding other definitions to 42010]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David W. Boyd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2:17 PM: 3.2.1.</w:t>
      </w:r>
      <w:r>
        <w:rPr>
          <w:rFonts w:ascii="Segoe UI" w:hAnsi="Segoe UI" w:cs="Segoe UI"/>
          <w:color w:val="000000"/>
          <w:sz w:val="17"/>
          <w:szCs w:val="17"/>
        </w:rPr>
        <w:tab/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role</w:t>
      </w:r>
      <w:proofErr w:type="gramEnd"/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proofErr w:type="gramStart"/>
      <w:r>
        <w:rPr>
          <w:rFonts w:ascii="Segoe UI" w:hAnsi="Segoe UI" w:cs="Segoe UI"/>
          <w:color w:val="000000"/>
          <w:sz w:val="17"/>
          <w:szCs w:val="17"/>
        </w:rPr>
        <w:t>a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set of activities (clause 3.2.1) that serves a common purpose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[SOURCE: ISO/IEC 17789:2014]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7"/>
          <w:szCs w:val="17"/>
        </w:rPr>
      </w:pPr>
      <w:r>
        <w:rPr>
          <w:rFonts w:ascii="Segoe UI" w:hAnsi="Segoe UI" w:cs="Segoe UI"/>
          <w:color w:val="000000"/>
          <w:sz w:val="17"/>
          <w:szCs w:val="17"/>
        </w:rPr>
        <w:t>3.2.2.</w:t>
      </w:r>
      <w:r>
        <w:rPr>
          <w:rFonts w:ascii="Segoe UI" w:hAnsi="Segoe UI" w:cs="Segoe UI"/>
          <w:color w:val="000000"/>
          <w:sz w:val="17"/>
          <w:szCs w:val="17"/>
        </w:rPr>
        <w:tab/>
      </w:r>
      <w:proofErr w:type="gramStart"/>
      <w:r>
        <w:rPr>
          <w:rFonts w:ascii="Segoe UI" w:hAnsi="Segoe UI" w:cs="Segoe UI"/>
          <w:color w:val="000000"/>
          <w:sz w:val="17"/>
          <w:szCs w:val="17"/>
        </w:rPr>
        <w:t>sub-role</w:t>
      </w:r>
      <w:proofErr w:type="gramEnd"/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proofErr w:type="gramStart"/>
      <w:r>
        <w:rPr>
          <w:rFonts w:ascii="Segoe UI" w:hAnsi="Segoe UI" w:cs="Segoe UI"/>
          <w:color w:val="000000"/>
          <w:sz w:val="17"/>
          <w:szCs w:val="17"/>
        </w:rPr>
        <w:t>a</w:t>
      </w:r>
      <w:proofErr w:type="gramEnd"/>
      <w:r>
        <w:rPr>
          <w:rFonts w:ascii="Segoe UI" w:hAnsi="Segoe UI" w:cs="Segoe UI"/>
          <w:color w:val="000000"/>
          <w:sz w:val="17"/>
          <w:szCs w:val="17"/>
        </w:rPr>
        <w:t xml:space="preserve"> subset of the activities (clause 3.2.1) of a given role (clause 3.2.5)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FFFF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Frank </w:t>
      </w:r>
      <w:proofErr w:type="spellStart"/>
      <w:r>
        <w:rPr>
          <w:rFonts w:ascii="Segoe UI" w:hAnsi="Segoe UI" w:cs="Segoe UI"/>
          <w:b/>
          <w:bCs/>
          <w:color w:val="3BB63C"/>
          <w:sz w:val="17"/>
          <w:szCs w:val="17"/>
        </w:rPr>
        <w:t>Farance</w:t>
      </w:r>
      <w:proofErr w:type="spellEnd"/>
      <w:r>
        <w:rPr>
          <w:rFonts w:ascii="Segoe UI" w:hAnsi="Segoe UI" w:cs="Segoe UI"/>
          <w:b/>
          <w:bCs/>
          <w:color w:val="3BB63C"/>
          <w:sz w:val="17"/>
          <w:szCs w:val="17"/>
        </w:rPr>
        <w:t xml:space="preserve">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 xml:space="preserve">2:19 PM: Agree with 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DoDAF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>.  Yes, when I've built a "reference architecture" is was in reference to "solution architectures" or "</w:t>
      </w:r>
      <w:proofErr w:type="spellStart"/>
      <w:r>
        <w:rPr>
          <w:rFonts w:ascii="Segoe UI" w:hAnsi="Segoe UI" w:cs="Segoe UI"/>
          <w:color w:val="000000"/>
          <w:sz w:val="17"/>
          <w:szCs w:val="17"/>
        </w:rPr>
        <w:t>inplementation</w:t>
      </w:r>
      <w:proofErr w:type="spellEnd"/>
      <w:r>
        <w:rPr>
          <w:rFonts w:ascii="Segoe UI" w:hAnsi="Segoe UI" w:cs="Segoe UI"/>
          <w:color w:val="000000"/>
          <w:sz w:val="17"/>
          <w:szCs w:val="17"/>
        </w:rPr>
        <w:t xml:space="preserve"> architectures"</w:t>
      </w:r>
    </w:p>
    <w:p w:rsidR="00E60E38" w:rsidRDefault="00FA14B0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7"/>
          <w:szCs w:val="17"/>
        </w:rPr>
      </w:pPr>
      <w:r>
        <w:rPr>
          <w:rFonts w:ascii="Segoe UI" w:hAnsi="Segoe UI" w:cs="Segoe UI"/>
          <w:b/>
          <w:bCs/>
          <w:color w:val="3BB63C"/>
          <w:sz w:val="17"/>
          <w:szCs w:val="17"/>
        </w:rPr>
        <w:t>Russell Reinsch (to Everyone)</w:t>
      </w:r>
      <w:r>
        <w:rPr>
          <w:rFonts w:ascii="Segoe UI" w:hAnsi="Segoe UI" w:cs="Segoe UI"/>
          <w:color w:val="3BB63C"/>
          <w:sz w:val="17"/>
          <w:szCs w:val="17"/>
        </w:rPr>
        <w:t xml:space="preserve">: </w:t>
      </w:r>
      <w:r>
        <w:rPr>
          <w:rFonts w:ascii="Segoe UI" w:hAnsi="Segoe UI" w:cs="Segoe UI"/>
          <w:color w:val="000000"/>
          <w:sz w:val="17"/>
          <w:szCs w:val="17"/>
        </w:rPr>
        <w:t>2:20 PM: 2</w:t>
      </w:r>
    </w:p>
    <w:sectPr w:rsidR="00E60E3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4B0"/>
    <w:rsid w:val="00DC3480"/>
    <w:rsid w:val="00E60E38"/>
    <w:rsid w:val="00FA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2C80417-CD99-40BE-9C5F-2920CA9C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A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1061</Words>
  <Characters>5475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 Chang</dc:creator>
  <cp:keywords/>
  <dc:description/>
  <cp:lastModifiedBy>Wo Chang</cp:lastModifiedBy>
  <cp:revision>3</cp:revision>
  <dcterms:created xsi:type="dcterms:W3CDTF">2016-12-29T21:45:00Z</dcterms:created>
  <dcterms:modified xsi:type="dcterms:W3CDTF">2016-12-29T22:28:00Z</dcterms:modified>
</cp:coreProperties>
</file>