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33A" w:rsidRDefault="00EF433A" w:rsidP="00EF433A">
      <w:pPr>
        <w:pStyle w:val="Default"/>
        <w:jc w:val="center"/>
        <w:rPr>
          <w:rFonts w:ascii="Calibri Light" w:hAnsi="Calibri Light"/>
          <w:b/>
          <w:bCs/>
          <w:sz w:val="36"/>
          <w:szCs w:val="36"/>
        </w:rPr>
      </w:pPr>
      <w:r>
        <w:rPr>
          <w:rFonts w:ascii="Calibri Light" w:hAnsi="Calibri Light"/>
          <w:b/>
          <w:bCs/>
          <w:sz w:val="36"/>
          <w:szCs w:val="36"/>
        </w:rPr>
        <w:t>NIST Big Data Public Working Group (NBD-PWG)</w:t>
      </w:r>
    </w:p>
    <w:p w:rsidR="00EF433A" w:rsidRDefault="00EF433A" w:rsidP="00EF433A">
      <w:pPr>
        <w:pStyle w:val="Default"/>
        <w:jc w:val="center"/>
        <w:rPr>
          <w:rFonts w:ascii="Calibri Light" w:hAnsi="Calibri Light"/>
          <w:b/>
          <w:bCs/>
          <w:sz w:val="44"/>
          <w:szCs w:val="44"/>
        </w:rPr>
      </w:pPr>
      <w:r>
        <w:rPr>
          <w:rFonts w:ascii="Calibri Light" w:hAnsi="Calibri Light"/>
          <w:b/>
          <w:bCs/>
          <w:sz w:val="28"/>
          <w:szCs w:val="28"/>
        </w:rPr>
        <w:t>NBD-PWD-2016/</w:t>
      </w:r>
      <w:r>
        <w:rPr>
          <w:rFonts w:ascii="Calibri Light" w:hAnsi="Calibri Light"/>
          <w:b/>
          <w:bCs/>
          <w:color w:val="FF0000"/>
          <w:sz w:val="44"/>
          <w:szCs w:val="44"/>
        </w:rPr>
        <w:t>M0495</w:t>
      </w:r>
    </w:p>
    <w:p w:rsidR="00EF433A" w:rsidRDefault="00EF433A" w:rsidP="00EF433A">
      <w:pPr>
        <w:pStyle w:val="Default"/>
        <w:rPr>
          <w:rFonts w:ascii="Calibri Light" w:hAnsi="Calibri Light"/>
          <w:b/>
          <w:bCs/>
          <w:sz w:val="28"/>
          <w:szCs w:val="28"/>
        </w:rPr>
      </w:pPr>
    </w:p>
    <w:p w:rsidR="00EF433A" w:rsidRDefault="00EF433A" w:rsidP="00EF433A">
      <w:pPr>
        <w:spacing w:line="360" w:lineRule="auto"/>
        <w:jc w:val="both"/>
        <w:rPr>
          <w:rFonts w:ascii="Calibri Light" w:hAnsi="Calibri Light"/>
          <w:b/>
          <w:bCs/>
          <w:sz w:val="22"/>
          <w:szCs w:val="22"/>
          <w:lang w:val="en-GB"/>
        </w:rPr>
      </w:pPr>
      <w:r>
        <w:rPr>
          <w:rFonts w:ascii="Calibri Light" w:hAnsi="Calibri Light"/>
          <w:b/>
          <w:bCs/>
          <w:lang w:val="en-GB"/>
        </w:rPr>
        <w:t xml:space="preserve">Source:    NBD-PWG </w:t>
      </w:r>
    </w:p>
    <w:p w:rsidR="00EF433A" w:rsidRDefault="00EF433A" w:rsidP="00EF433A">
      <w:pPr>
        <w:spacing w:line="360" w:lineRule="auto"/>
        <w:jc w:val="both"/>
        <w:rPr>
          <w:rFonts w:ascii="Calibri Light" w:hAnsi="Calibri Light"/>
          <w:b/>
          <w:bCs/>
          <w:lang w:val="en-GB"/>
        </w:rPr>
      </w:pPr>
      <w:r>
        <w:rPr>
          <w:rFonts w:ascii="Calibri Light" w:hAnsi="Calibri Light"/>
          <w:b/>
          <w:bCs/>
          <w:lang w:val="en-GB"/>
        </w:rPr>
        <w:t>Status:     Draft</w:t>
      </w:r>
    </w:p>
    <w:p w:rsidR="00EF433A" w:rsidRDefault="00EF433A" w:rsidP="00EF433A">
      <w:pPr>
        <w:spacing w:line="360" w:lineRule="auto"/>
        <w:jc w:val="both"/>
        <w:rPr>
          <w:rFonts w:ascii="Calibri Light" w:hAnsi="Calibri Light"/>
          <w:b/>
          <w:bCs/>
          <w:lang w:val="en-GB"/>
        </w:rPr>
      </w:pPr>
      <w:r>
        <w:rPr>
          <w:rFonts w:ascii="Calibri Light" w:hAnsi="Calibri Light"/>
          <w:b/>
          <w:bCs/>
          <w:lang w:val="en-GB"/>
        </w:rPr>
        <w:t>Title:       NBD-PWG Meeting Agenda for Feb. 2, 2016</w:t>
      </w:r>
    </w:p>
    <w:p w:rsidR="00EF433A" w:rsidRDefault="00EF433A" w:rsidP="00EF433A">
      <w:pPr>
        <w:spacing w:line="360" w:lineRule="auto"/>
        <w:jc w:val="both"/>
        <w:rPr>
          <w:rFonts w:ascii="Calibri Light" w:hAnsi="Calibri Light"/>
          <w:b/>
          <w:bCs/>
          <w:lang w:val="en-GB"/>
        </w:rPr>
      </w:pPr>
      <w:r>
        <w:rPr>
          <w:rFonts w:ascii="Calibri Light" w:hAnsi="Calibri Light"/>
          <w:b/>
          <w:bCs/>
          <w:lang w:val="en-GB"/>
        </w:rPr>
        <w:t>Author:    NBD-PWG Subgroup Co-Chairs</w:t>
      </w:r>
    </w:p>
    <w:p w:rsidR="00EF433A" w:rsidRDefault="00EF433A" w:rsidP="00EF433A">
      <w:pPr>
        <w:pStyle w:val="NormalWeb"/>
        <w:shd w:val="clear" w:color="auto" w:fill="FFFFFF"/>
        <w:rPr>
          <w:rFonts w:ascii="Calibri Light" w:hAnsi="Calibri Light"/>
          <w:color w:val="000000"/>
        </w:rPr>
      </w:pPr>
      <w:r>
        <w:rPr>
          <w:rFonts w:ascii="Calibri Light" w:hAnsi="Calibri Light"/>
          <w:color w:val="000000"/>
        </w:rPr>
        <w:t> </w:t>
      </w:r>
    </w:p>
    <w:p w:rsidR="00EF433A" w:rsidRDefault="00EF433A" w:rsidP="00EF433A">
      <w:pPr>
        <w:pStyle w:val="Default"/>
        <w:rPr>
          <w:rFonts w:ascii="Calibri Light" w:hAnsi="Calibri Light"/>
          <w:b/>
          <w:bCs/>
          <w:sz w:val="28"/>
          <w:szCs w:val="28"/>
        </w:rPr>
      </w:pPr>
      <w:r>
        <w:rPr>
          <w:rStyle w:val="Heading1Char"/>
        </w:rPr>
        <w:t>Meeting logistics</w:t>
      </w:r>
    </w:p>
    <w:p w:rsidR="00EF433A" w:rsidRDefault="00EF433A" w:rsidP="00EF433A">
      <w:pPr>
        <w:pStyle w:val="NoSpacing"/>
        <w:rPr>
          <w:rFonts w:ascii="Calibri Light" w:hAnsi="Calibri Light"/>
          <w:sz w:val="24"/>
          <w:szCs w:val="24"/>
          <w:lang w:val="en-GB"/>
        </w:rPr>
      </w:pPr>
      <w:r>
        <w:rPr>
          <w:rFonts w:ascii="Calibri Light" w:hAnsi="Calibri Light"/>
          <w:sz w:val="24"/>
          <w:szCs w:val="24"/>
          <w:lang w:val="en-GB"/>
        </w:rPr>
        <w:t>Date/time: Feb. 2, 1:00PM – 3:00PM EDT</w:t>
      </w:r>
    </w:p>
    <w:p w:rsidR="00EF433A" w:rsidRDefault="00EF433A" w:rsidP="00EF433A">
      <w:pPr>
        <w:autoSpaceDE w:val="0"/>
        <w:autoSpaceDN w:val="0"/>
        <w:rPr>
          <w:rFonts w:ascii="Calibri Light" w:hAnsi="Calibri Light"/>
          <w:sz w:val="22"/>
          <w:szCs w:val="22"/>
          <w:lang w:val="en-GB"/>
        </w:rPr>
      </w:pPr>
      <w:r>
        <w:rPr>
          <w:rFonts w:ascii="Calibri Light" w:hAnsi="Calibri Light"/>
          <w:lang w:val="en-GB"/>
        </w:rPr>
        <w:t xml:space="preserve">Web conferencing tool: </w:t>
      </w:r>
      <w:hyperlink r:id="rId8" w:history="1">
        <w:r>
          <w:rPr>
            <w:rStyle w:val="Hyperlink"/>
            <w:lang w:val="en-GB"/>
          </w:rPr>
          <w:t>https://global.gotomeeting.com/join/790820565</w:t>
        </w:r>
      </w:hyperlink>
    </w:p>
    <w:p w:rsidR="00EF433A" w:rsidRDefault="00EF433A" w:rsidP="00EF433A">
      <w:pPr>
        <w:rPr>
          <w:rFonts w:ascii="Calibri Light" w:hAnsi="Calibri Light"/>
          <w:lang w:val="en-GB"/>
        </w:rPr>
      </w:pPr>
      <w:r>
        <w:rPr>
          <w:rFonts w:ascii="Calibri Light" w:hAnsi="Calibri Light"/>
          <w:lang w:val="en-GB"/>
        </w:rPr>
        <w:t>Audio: Use your microphone and speakers (VoIP) - a headset is recommended, or, call in using your telephone (US, long distance): +1 (646) 749-3122, access code/meeting ID: 790-820-565</w:t>
      </w:r>
    </w:p>
    <w:p w:rsidR="00EF433A" w:rsidRDefault="00EF433A" w:rsidP="00EF433A">
      <w:pPr>
        <w:pStyle w:val="Heading2"/>
        <w:rPr>
          <w:rFonts w:ascii="Calibri Light" w:eastAsia="Times New Roman" w:hAnsi="Calibri Light"/>
          <w:b/>
          <w:bCs/>
          <w:color w:val="000000"/>
        </w:rPr>
      </w:pPr>
    </w:p>
    <w:p w:rsidR="00EF433A" w:rsidRDefault="00EF433A" w:rsidP="00EF433A">
      <w:pPr>
        <w:pStyle w:val="Heading2"/>
        <w:rPr>
          <w:rFonts w:eastAsia="Times New Roman"/>
          <w:b/>
          <w:bCs/>
          <w:color w:val="000000"/>
        </w:rPr>
      </w:pPr>
      <w:r>
        <w:rPr>
          <w:rFonts w:eastAsia="Times New Roman"/>
          <w:b/>
          <w:bCs/>
          <w:color w:val="000000"/>
        </w:rPr>
        <w:t>Agenda</w:t>
      </w:r>
    </w:p>
    <w:p w:rsidR="00EF433A" w:rsidRDefault="00EF433A" w:rsidP="00EF433A">
      <w:pPr>
        <w:shd w:val="clear" w:color="auto" w:fill="FFFFFF"/>
        <w:rPr>
          <w:rFonts w:ascii="Calibri Light" w:eastAsiaTheme="minorEastAsia" w:hAnsi="Calibri Light"/>
          <w:color w:val="000000"/>
          <w:lang w:val="en-GB"/>
        </w:rPr>
      </w:pPr>
    </w:p>
    <w:p w:rsidR="00EF433A" w:rsidRDefault="00EF433A" w:rsidP="00EF433A">
      <w:pPr>
        <w:pStyle w:val="ListParagraph"/>
        <w:numPr>
          <w:ilvl w:val="0"/>
          <w:numId w:val="1"/>
        </w:numPr>
        <w:shd w:val="clear" w:color="auto" w:fill="FFFFFF"/>
        <w:ind w:left="360"/>
        <w:rPr>
          <w:color w:val="000000"/>
        </w:rPr>
      </w:pPr>
      <w:r>
        <w:rPr>
          <w:color w:val="000000"/>
        </w:rPr>
        <w:t>Last week action items</w:t>
      </w:r>
    </w:p>
    <w:p w:rsidR="00EF433A" w:rsidRDefault="00EF433A" w:rsidP="00EF433A">
      <w:pPr>
        <w:pStyle w:val="ListParagraph"/>
        <w:numPr>
          <w:ilvl w:val="1"/>
          <w:numId w:val="1"/>
        </w:numPr>
        <w:shd w:val="clear" w:color="auto" w:fill="FFFFFF"/>
        <w:ind w:left="900"/>
      </w:pPr>
      <w:r>
        <w:t>Share Census Security and Privacy practices and position, Cavan</w:t>
      </w:r>
    </w:p>
    <w:p w:rsidR="00EF433A" w:rsidRDefault="00EF433A" w:rsidP="00EF433A">
      <w:pPr>
        <w:pStyle w:val="ListParagraph"/>
        <w:numPr>
          <w:ilvl w:val="1"/>
          <w:numId w:val="1"/>
        </w:numPr>
        <w:shd w:val="clear" w:color="auto" w:fill="FFFFFF"/>
        <w:ind w:left="900"/>
      </w:pPr>
      <w:r>
        <w:t>Discuss identified ~6 missing items in Vol. 1 Definition, Nancy and Ann</w:t>
      </w:r>
    </w:p>
    <w:p w:rsidR="00EF433A" w:rsidRDefault="00EF433A" w:rsidP="00EF433A">
      <w:pPr>
        <w:pStyle w:val="ListParagraph"/>
        <w:numPr>
          <w:ilvl w:val="2"/>
          <w:numId w:val="1"/>
        </w:numPr>
        <w:shd w:val="clear" w:color="auto" w:fill="FFFFFF"/>
        <w:ind w:left="1350"/>
      </w:pPr>
      <w:r>
        <w:t>Whitepaper implication of Big Data in social, business, public, knowledge extraction, and lifecycle, etc.</w:t>
      </w:r>
    </w:p>
    <w:p w:rsidR="00EF433A" w:rsidRDefault="00EF433A" w:rsidP="00EF433A">
      <w:pPr>
        <w:pStyle w:val="ListParagraph"/>
        <w:numPr>
          <w:ilvl w:val="0"/>
          <w:numId w:val="1"/>
        </w:numPr>
        <w:shd w:val="clear" w:color="auto" w:fill="FFFFFF"/>
        <w:ind w:left="360"/>
        <w:rPr>
          <w:color w:val="000000"/>
        </w:rPr>
      </w:pPr>
      <w:r>
        <w:rPr>
          <w:color w:val="000000"/>
        </w:rPr>
        <w:t>Planning face-to-face meeting at NIST for NBD-PWG, Sept. 20 - 22, 2016 (tentative)</w:t>
      </w:r>
    </w:p>
    <w:p w:rsidR="00EF433A" w:rsidRDefault="00EF433A" w:rsidP="00EF433A">
      <w:pPr>
        <w:pStyle w:val="NoSpacing"/>
        <w:rPr>
          <w:lang w:val="en-GB"/>
        </w:rPr>
      </w:pPr>
    </w:p>
    <w:p w:rsidR="00EF433A" w:rsidRDefault="00EF433A" w:rsidP="00EF433A">
      <w:pPr>
        <w:pStyle w:val="NoSpacing"/>
        <w:numPr>
          <w:ilvl w:val="0"/>
          <w:numId w:val="1"/>
        </w:numPr>
        <w:ind w:left="360"/>
        <w:rPr>
          <w:rFonts w:ascii="Times New Roman" w:hAnsi="Times New Roman"/>
          <w:b/>
          <w:bCs/>
          <w:color w:val="000000"/>
          <w:sz w:val="24"/>
          <w:szCs w:val="24"/>
        </w:rPr>
      </w:pPr>
      <w:r>
        <w:rPr>
          <w:rFonts w:ascii="Times New Roman" w:hAnsi="Times New Roman"/>
          <w:b/>
          <w:bCs/>
          <w:color w:val="000000"/>
          <w:sz w:val="24"/>
          <w:szCs w:val="24"/>
        </w:rPr>
        <w:t>NBDIF V2 Assessment before March 20 Announcement for September F2F Workshop</w:t>
      </w:r>
    </w:p>
    <w:p w:rsidR="00EF433A" w:rsidRDefault="00EF433A" w:rsidP="00EF433A">
      <w:pPr>
        <w:pStyle w:val="NoSpacing"/>
        <w:numPr>
          <w:ilvl w:val="0"/>
          <w:numId w:val="44"/>
        </w:numPr>
        <w:rPr>
          <w:rFonts w:ascii="Calibri" w:hAnsi="Calibri"/>
          <w:lang w:eastAsia="zh-TW"/>
        </w:rPr>
      </w:pPr>
      <w:r>
        <w:t xml:space="preserve">From Vol. 1 Definitions, Section 1.5 Future Work (with updates) – Nancy </w:t>
      </w:r>
    </w:p>
    <w:p w:rsidR="00EF433A" w:rsidRDefault="00EF433A" w:rsidP="00EF433A">
      <w:pPr>
        <w:pStyle w:val="NoSpacing"/>
        <w:numPr>
          <w:ilvl w:val="1"/>
          <w:numId w:val="44"/>
        </w:numPr>
      </w:pPr>
      <w:r>
        <w:t xml:space="preserve">Enhance existing V1 definitions </w:t>
      </w:r>
    </w:p>
    <w:p w:rsidR="00EF433A" w:rsidRDefault="00EF433A" w:rsidP="00EF433A">
      <w:pPr>
        <w:pStyle w:val="NoSpacing"/>
        <w:numPr>
          <w:ilvl w:val="2"/>
          <w:numId w:val="44"/>
        </w:numPr>
      </w:pPr>
      <w:r>
        <w:t>Revisit Big Data and associated definitions</w:t>
      </w:r>
    </w:p>
    <w:p w:rsidR="00EF433A" w:rsidRDefault="00EF433A" w:rsidP="00EF433A">
      <w:pPr>
        <w:pStyle w:val="NoSpacing"/>
        <w:numPr>
          <w:ilvl w:val="2"/>
          <w:numId w:val="44"/>
        </w:numPr>
      </w:pPr>
      <w:r>
        <w:t>Redo the Data Science section</w:t>
      </w:r>
    </w:p>
    <w:p w:rsidR="00EF433A" w:rsidRDefault="00EF433A" w:rsidP="00EF433A">
      <w:pPr>
        <w:pStyle w:val="NoSpacing"/>
        <w:numPr>
          <w:ilvl w:val="2"/>
          <w:numId w:val="44"/>
        </w:numPr>
      </w:pPr>
      <w:r>
        <w:t>Redo data lifecycle to analytics lifecycle or something else</w:t>
      </w:r>
    </w:p>
    <w:p w:rsidR="00EF433A" w:rsidRDefault="00EF433A" w:rsidP="00EF433A">
      <w:pPr>
        <w:pStyle w:val="NoSpacing"/>
        <w:numPr>
          <w:ilvl w:val="2"/>
          <w:numId w:val="44"/>
        </w:numPr>
      </w:pPr>
      <w:r>
        <w:t>Decide how to address the data-information-knowledge distinctions</w:t>
      </w:r>
    </w:p>
    <w:p w:rsidR="00EF433A" w:rsidRDefault="00EF433A" w:rsidP="00EF433A">
      <w:pPr>
        <w:pStyle w:val="NoSpacing"/>
        <w:numPr>
          <w:ilvl w:val="1"/>
          <w:numId w:val="44"/>
        </w:numPr>
      </w:pPr>
      <w:r>
        <w:t xml:space="preserve">Defining the different patterns of communications between Big Data resources to better clarify the different approaches being taken; </w:t>
      </w:r>
    </w:p>
    <w:p w:rsidR="00EF433A" w:rsidRDefault="00EF433A" w:rsidP="00EF433A">
      <w:pPr>
        <w:pStyle w:val="NoSpacing"/>
        <w:numPr>
          <w:ilvl w:val="2"/>
          <w:numId w:val="44"/>
        </w:numPr>
      </w:pPr>
      <w:r>
        <w:t>Bob’s IoT</w:t>
      </w:r>
    </w:p>
    <w:p w:rsidR="00EF433A" w:rsidRDefault="00EF433A" w:rsidP="00EF433A">
      <w:pPr>
        <w:pStyle w:val="NoSpacing"/>
        <w:numPr>
          <w:ilvl w:val="2"/>
          <w:numId w:val="44"/>
        </w:numPr>
      </w:pPr>
      <w:r>
        <w:t>Bob’s earlier use cases</w:t>
      </w:r>
    </w:p>
    <w:p w:rsidR="00EF433A" w:rsidRDefault="00EF433A" w:rsidP="00EF433A">
      <w:pPr>
        <w:pStyle w:val="NoSpacing"/>
        <w:numPr>
          <w:ilvl w:val="2"/>
          <w:numId w:val="44"/>
        </w:numPr>
      </w:pPr>
      <w:r>
        <w:t>Application provider with 3V’s</w:t>
      </w:r>
    </w:p>
    <w:p w:rsidR="00EF433A" w:rsidRDefault="00EF433A" w:rsidP="00EF433A">
      <w:pPr>
        <w:pStyle w:val="NoSpacing"/>
        <w:numPr>
          <w:ilvl w:val="1"/>
          <w:numId w:val="44"/>
        </w:numPr>
      </w:pPr>
      <w:r>
        <w:t>Improving the discussions of governance, value, and data ownership;</w:t>
      </w:r>
    </w:p>
    <w:p w:rsidR="00EF433A" w:rsidRDefault="00EF433A" w:rsidP="00EF433A">
      <w:pPr>
        <w:pStyle w:val="NoSpacing"/>
        <w:numPr>
          <w:ilvl w:val="1"/>
          <w:numId w:val="44"/>
        </w:numPr>
      </w:pPr>
      <w:r>
        <w:t>Developing the Management section;</w:t>
      </w:r>
    </w:p>
    <w:p w:rsidR="00EF433A" w:rsidRDefault="00EF433A" w:rsidP="00EF433A">
      <w:pPr>
        <w:pStyle w:val="NoSpacing"/>
        <w:numPr>
          <w:ilvl w:val="1"/>
          <w:numId w:val="44"/>
        </w:numPr>
      </w:pPr>
      <w:r>
        <w:t>Developing the Security and Privacy section;</w:t>
      </w:r>
    </w:p>
    <w:p w:rsidR="00EF433A" w:rsidRDefault="00EF433A" w:rsidP="00EF433A">
      <w:pPr>
        <w:pStyle w:val="NoSpacing"/>
        <w:numPr>
          <w:ilvl w:val="1"/>
          <w:numId w:val="44"/>
        </w:numPr>
      </w:pPr>
      <w:r>
        <w:t>Improve discussion of new behavior in big data</w:t>
      </w:r>
    </w:p>
    <w:p w:rsidR="00EF433A" w:rsidRDefault="00EF433A" w:rsidP="00EF433A">
      <w:pPr>
        <w:pStyle w:val="NoSpacing"/>
        <w:numPr>
          <w:ilvl w:val="2"/>
          <w:numId w:val="44"/>
        </w:numPr>
      </w:pPr>
      <w:r>
        <w:t xml:space="preserve">Concurrency </w:t>
      </w:r>
    </w:p>
    <w:p w:rsidR="00EF433A" w:rsidRDefault="00EF433A" w:rsidP="00EF433A">
      <w:pPr>
        <w:pStyle w:val="NoSpacing"/>
        <w:numPr>
          <w:ilvl w:val="2"/>
          <w:numId w:val="44"/>
        </w:numPr>
      </w:pPr>
      <w:r>
        <w:t>Emergent behavior “Matrix Effect” where for example now have PII concerns</w:t>
      </w:r>
    </w:p>
    <w:p w:rsidR="00EF433A" w:rsidRDefault="00EF433A" w:rsidP="00EF433A">
      <w:pPr>
        <w:pStyle w:val="NoSpacing"/>
        <w:numPr>
          <w:ilvl w:val="1"/>
          <w:numId w:val="44"/>
        </w:numPr>
      </w:pPr>
      <w:r>
        <w:lastRenderedPageBreak/>
        <w:t>Whitepaper: Implication of Big Data in social, business, public, knowledge extraction, and lifecycle, etc. (from Ann)</w:t>
      </w:r>
    </w:p>
    <w:p w:rsidR="00EF433A" w:rsidRDefault="00EF433A" w:rsidP="00EF433A">
      <w:pPr>
        <w:pStyle w:val="NoSpacing"/>
        <w:numPr>
          <w:ilvl w:val="2"/>
          <w:numId w:val="44"/>
        </w:numPr>
      </w:pPr>
      <w:r>
        <w:t>Discuss the topic of value</w:t>
      </w:r>
    </w:p>
    <w:p w:rsidR="00EF433A" w:rsidRDefault="00EF433A" w:rsidP="00EF433A">
      <w:pPr>
        <w:pStyle w:val="NoSpacing"/>
      </w:pPr>
    </w:p>
    <w:p w:rsidR="00EF433A" w:rsidRDefault="00EF433A" w:rsidP="00EF433A">
      <w:pPr>
        <w:pStyle w:val="NoSpacing"/>
        <w:numPr>
          <w:ilvl w:val="0"/>
          <w:numId w:val="44"/>
        </w:numPr>
      </w:pPr>
      <w:r>
        <w:t xml:space="preserve">From Vol. 2 Taxonomies, Section 1.5 Future Work (with updates) – Nancy </w:t>
      </w:r>
    </w:p>
    <w:p w:rsidR="00EF433A" w:rsidRDefault="00EF433A" w:rsidP="00EF433A">
      <w:pPr>
        <w:pStyle w:val="NoSpacing"/>
        <w:numPr>
          <w:ilvl w:val="1"/>
          <w:numId w:val="44"/>
        </w:numPr>
      </w:pPr>
      <w:r>
        <w:t>Align with the other v1 documents</w:t>
      </w:r>
    </w:p>
    <w:p w:rsidR="00EF433A" w:rsidRDefault="00EF433A" w:rsidP="00EF433A">
      <w:pPr>
        <w:pStyle w:val="NoSpacing"/>
        <w:numPr>
          <w:ilvl w:val="1"/>
          <w:numId w:val="44"/>
        </w:numPr>
      </w:pPr>
      <w:r>
        <w:t xml:space="preserve">The Subgroup is continuing to explore the changes in both Management and in Security and Privacy. As changes in the activities within these roles are clarified, the taxonomy will be developed further. </w:t>
      </w:r>
    </w:p>
    <w:p w:rsidR="00EF433A" w:rsidRDefault="00EF433A" w:rsidP="00EF433A">
      <w:pPr>
        <w:pStyle w:val="NoSpacing"/>
        <w:numPr>
          <w:ilvl w:val="1"/>
          <w:numId w:val="44"/>
        </w:numPr>
      </w:pPr>
      <w:r>
        <w:t xml:space="preserve">In addition, a fuller understanding of Big Data and its technologies should consider the interactions between the characteristics of the data and the desired methods in both technique and time window for performance. These characteristics drive the application and the choice of tools to meet system requirements. Investigation of the interfaces between data characteristics and technologies is a continuing task for the NBD-PWG Definitions and Taxonomy Subgroup and the NBD-PWG Reference Architecture Subgroup. </w:t>
      </w:r>
    </w:p>
    <w:p w:rsidR="00EF433A" w:rsidRDefault="00EF433A" w:rsidP="00EF433A">
      <w:pPr>
        <w:pStyle w:val="NoSpacing"/>
        <w:numPr>
          <w:ilvl w:val="1"/>
          <w:numId w:val="44"/>
        </w:numPr>
      </w:pPr>
      <w:r>
        <w:t>Finally, societal impact issues have not yet been fully explored. There are a number of overarching issues in the implications of Big Data, such as data ownership and data governance, which need more examination. Big Data is a rapidly evolving field, and the initial discussion presented in this volume must be considered a work in progress.</w:t>
      </w:r>
    </w:p>
    <w:p w:rsidR="00EF433A" w:rsidRDefault="00EF433A" w:rsidP="00EF433A">
      <w:pPr>
        <w:pStyle w:val="NoSpacing"/>
        <w:numPr>
          <w:ilvl w:val="1"/>
          <w:numId w:val="44"/>
        </w:numPr>
      </w:pPr>
      <w:r>
        <w:t>Explore the taxonomy’s ability to work with Geoffrey’s blend of HPC and Big Data</w:t>
      </w:r>
    </w:p>
    <w:p w:rsidR="00EF433A" w:rsidRDefault="00EF433A" w:rsidP="00EF433A">
      <w:pPr>
        <w:pStyle w:val="NoSpacing"/>
        <w:numPr>
          <w:ilvl w:val="1"/>
          <w:numId w:val="44"/>
        </w:numPr>
      </w:pPr>
      <w:r>
        <w:t>Explore formal methods to define taxonomy</w:t>
      </w:r>
    </w:p>
    <w:p w:rsidR="00EF433A" w:rsidRDefault="00EF433A" w:rsidP="00EF433A">
      <w:pPr>
        <w:pStyle w:val="NoSpacing"/>
      </w:pPr>
    </w:p>
    <w:p w:rsidR="00EF433A" w:rsidRDefault="00EF433A" w:rsidP="00EF433A">
      <w:pPr>
        <w:pStyle w:val="NoSpacing"/>
        <w:numPr>
          <w:ilvl w:val="0"/>
          <w:numId w:val="44"/>
        </w:numPr>
      </w:pPr>
      <w:r>
        <w:t xml:space="preserve">From Vol. 3 Use Cases &amp; Requirements, Section 1.5, Future Work (with updates) – Geoffrey and Piyush </w:t>
      </w:r>
    </w:p>
    <w:p w:rsidR="00EF433A" w:rsidRDefault="00EF433A" w:rsidP="00EF433A">
      <w:pPr>
        <w:pStyle w:val="NoSpacing"/>
        <w:ind w:left="720"/>
      </w:pPr>
      <w:r>
        <w:t>[Need to come up with a strong motivation reason why people would submit new use cases. It is also hard to get security and privacy use cases]</w:t>
      </w:r>
    </w:p>
    <w:p w:rsidR="00EF433A" w:rsidRDefault="00EF433A" w:rsidP="00EF433A">
      <w:pPr>
        <w:pStyle w:val="NoSpacing"/>
        <w:numPr>
          <w:ilvl w:val="1"/>
          <w:numId w:val="44"/>
        </w:numPr>
      </w:pPr>
      <w:r>
        <w:t xml:space="preserve">Review, finalize, and begin collecting new use cases based from UC Template V2 </w:t>
      </w:r>
    </w:p>
    <w:p w:rsidR="00EF433A" w:rsidRDefault="00EF433A" w:rsidP="00EF433A">
      <w:pPr>
        <w:pStyle w:val="NoSpacing"/>
        <w:numPr>
          <w:ilvl w:val="1"/>
          <w:numId w:val="44"/>
        </w:numPr>
      </w:pPr>
      <w:r>
        <w:t>How to analyze new use cases with SnP info? How to coordinate vol. 4?</w:t>
      </w:r>
    </w:p>
    <w:p w:rsidR="00EF433A" w:rsidRDefault="00EF433A" w:rsidP="00EF433A">
      <w:pPr>
        <w:pStyle w:val="NoSpacing"/>
        <w:numPr>
          <w:ilvl w:val="1"/>
          <w:numId w:val="44"/>
        </w:numPr>
      </w:pPr>
      <w:r>
        <w:t xml:space="preserve">Draw on the use case classification to suggest classes of software models and system architectures [1][2][3][4][5]  </w:t>
      </w:r>
    </w:p>
    <w:p w:rsidR="00EF433A" w:rsidRDefault="00EF433A" w:rsidP="00EF433A">
      <w:pPr>
        <w:pStyle w:val="NoSpacing"/>
        <w:numPr>
          <w:ilvl w:val="1"/>
          <w:numId w:val="44"/>
        </w:numPr>
      </w:pPr>
      <w:r>
        <w:t xml:space="preserve">A more detailed analysis of reference architecture based on sample codes that are being implemented in a university class. [6]  </w:t>
      </w:r>
    </w:p>
    <w:p w:rsidR="00EF433A" w:rsidRDefault="00EF433A" w:rsidP="00EF433A">
      <w:pPr>
        <w:pStyle w:val="NoSpacing"/>
        <w:numPr>
          <w:ilvl w:val="1"/>
          <w:numId w:val="44"/>
        </w:numPr>
      </w:pPr>
      <w:r>
        <w:t>Collect benchmarks that capture the “essence” of individual use cases.</w:t>
      </w:r>
    </w:p>
    <w:p w:rsidR="00EF433A" w:rsidRDefault="00EF433A" w:rsidP="00EF433A">
      <w:pPr>
        <w:pStyle w:val="NoSpacing"/>
        <w:numPr>
          <w:ilvl w:val="1"/>
          <w:numId w:val="44"/>
        </w:numPr>
      </w:pPr>
      <w:r>
        <w:t>Additional work may arise from these or other NBD-PWG activities. Other future work may include collection and classification of additional use cases in areas that would benefit from additional entries, such as Government Operations, Commercial, Internet of Things, and Energy. Additional information on current or new use cases may become available, including associated figures. In future use cases, more quantitative specifications could be made, including more precise and uniform recording of data volume. In addition, further requirements analysis can be performed now that the reference architecture is more mature.</w:t>
      </w:r>
    </w:p>
    <w:p w:rsidR="00EF433A" w:rsidRDefault="00EF433A" w:rsidP="00EF433A">
      <w:pPr>
        <w:pStyle w:val="NoSpacing"/>
      </w:pPr>
    </w:p>
    <w:p w:rsidR="00EF433A" w:rsidRDefault="00EF433A" w:rsidP="00EF433A">
      <w:pPr>
        <w:pStyle w:val="NoSpacing"/>
        <w:numPr>
          <w:ilvl w:val="0"/>
          <w:numId w:val="44"/>
        </w:numPr>
      </w:pPr>
      <w:r>
        <w:t>From Vol. 4 Security &amp; Privacy, Section 1.5, Future Work (with updates) – Arnab and Mark</w:t>
      </w:r>
    </w:p>
    <w:p w:rsidR="00EF433A" w:rsidRDefault="00EF433A" w:rsidP="00EF433A">
      <w:pPr>
        <w:pStyle w:val="NoSpacing"/>
        <w:numPr>
          <w:ilvl w:val="1"/>
          <w:numId w:val="44"/>
        </w:numPr>
      </w:pPr>
      <w:r>
        <w:t>How to coordinate with vol.3 new use cases on SnP?</w:t>
      </w:r>
    </w:p>
    <w:p w:rsidR="00EF433A" w:rsidRDefault="00EF433A" w:rsidP="00EF433A">
      <w:pPr>
        <w:pStyle w:val="NoSpacing"/>
        <w:numPr>
          <w:ilvl w:val="1"/>
          <w:numId w:val="44"/>
        </w:numPr>
      </w:pPr>
      <w:r>
        <w:t>Developing the unified security and privacy taxonomy:</w:t>
      </w:r>
    </w:p>
    <w:p w:rsidR="00EF433A" w:rsidRDefault="00EF433A" w:rsidP="00EF433A">
      <w:pPr>
        <w:pStyle w:val="NoSpacing"/>
        <w:numPr>
          <w:ilvl w:val="2"/>
          <w:numId w:val="44"/>
        </w:numPr>
      </w:pPr>
      <w:r>
        <w:t xml:space="preserve">Developing the connection between the security and privacy fabric and the NBDRA (should we rename Vol. 4 to “Security and Privacy Fabric”?); </w:t>
      </w:r>
    </w:p>
    <w:p w:rsidR="00EF433A" w:rsidRDefault="00EF433A" w:rsidP="00EF433A">
      <w:pPr>
        <w:pStyle w:val="NoSpacing"/>
        <w:numPr>
          <w:ilvl w:val="1"/>
          <w:numId w:val="44"/>
        </w:numPr>
      </w:pPr>
      <w:r>
        <w:lastRenderedPageBreak/>
        <w:t>Exploring governance, risk management, data ownership, and valuation with respect to Big Data ecosystem, with a focus on security and privacy;</w:t>
      </w:r>
    </w:p>
    <w:p w:rsidR="00EF433A" w:rsidRDefault="00EF433A" w:rsidP="00EF433A">
      <w:pPr>
        <w:pStyle w:val="NoSpacing"/>
        <w:numPr>
          <w:ilvl w:val="1"/>
          <w:numId w:val="44"/>
        </w:numPr>
      </w:pPr>
      <w:r>
        <w:t>Contextualizing the content of Appendix B in the NBDRA; and</w:t>
      </w:r>
    </w:p>
    <w:p w:rsidR="00EF433A" w:rsidRDefault="00EF433A" w:rsidP="00EF433A">
      <w:pPr>
        <w:pStyle w:val="NoSpacing"/>
        <w:numPr>
          <w:ilvl w:val="1"/>
          <w:numId w:val="44"/>
        </w:numPr>
      </w:pPr>
      <w:r>
        <w:t>Expanding the privacy discussion within the scope of this volume;</w:t>
      </w:r>
    </w:p>
    <w:p w:rsidR="00EF433A" w:rsidRDefault="00EF433A" w:rsidP="00EF433A">
      <w:pPr>
        <w:pStyle w:val="NoSpacing"/>
        <w:numPr>
          <w:ilvl w:val="2"/>
          <w:numId w:val="44"/>
        </w:numPr>
      </w:pPr>
      <w:r>
        <w:t>Exploring privacy in actionable terms based on frameworks such as those described in NISTIR 8062 [7] with respect to the NBDRA.</w:t>
      </w:r>
    </w:p>
    <w:p w:rsidR="00EF433A" w:rsidRDefault="00EF433A" w:rsidP="00EF433A">
      <w:pPr>
        <w:pStyle w:val="NoSpacing"/>
        <w:numPr>
          <w:ilvl w:val="1"/>
          <w:numId w:val="44"/>
        </w:numPr>
      </w:pPr>
      <w:r>
        <w:t>Whitepaper: Privacy in Big Data System (Cavan and team)</w:t>
      </w:r>
    </w:p>
    <w:p w:rsidR="00EF433A" w:rsidRDefault="00EF433A" w:rsidP="00EF433A">
      <w:pPr>
        <w:pStyle w:val="NoSpacing"/>
      </w:pPr>
    </w:p>
    <w:p w:rsidR="00EF433A" w:rsidRDefault="00EF433A" w:rsidP="00EF433A">
      <w:pPr>
        <w:pStyle w:val="NoSpacing"/>
        <w:ind w:firstLine="720"/>
      </w:pPr>
      <w:r>
        <w:t>Other complement topics (Mark):</w:t>
      </w:r>
    </w:p>
    <w:p w:rsidR="00EF433A" w:rsidRDefault="00EF433A" w:rsidP="00EF433A">
      <w:pPr>
        <w:pStyle w:val="NoSpacing"/>
        <w:numPr>
          <w:ilvl w:val="0"/>
          <w:numId w:val="45"/>
        </w:numPr>
        <w:ind w:left="1170"/>
      </w:pPr>
      <w:r>
        <w:rPr>
          <w:b/>
          <w:bCs/>
        </w:rPr>
        <w:t>V2 “Synthesis” Document</w:t>
      </w:r>
      <w:r>
        <w:t xml:space="preserve">.  The scope as proposed is likely beyond the reach of the WG resources. Proposing a first step in lieu of a full V2 as an overview which: (1) summarizes V1 in a more digestible format; (2) addresses conflicts in terminology across the documents; (3) better distinguishes where we to contribute vs. other standards groups; (4) focus on fewer but more detailed use cases (below) </w:t>
      </w:r>
    </w:p>
    <w:p w:rsidR="00EF433A" w:rsidRDefault="00EF433A" w:rsidP="00EF433A">
      <w:pPr>
        <w:pStyle w:val="NoSpacing"/>
        <w:numPr>
          <w:ilvl w:val="0"/>
          <w:numId w:val="45"/>
        </w:numPr>
        <w:ind w:left="1170"/>
      </w:pPr>
      <w:r>
        <w:rPr>
          <w:b/>
          <w:bCs/>
        </w:rPr>
        <w:t>Two primary use cases</w:t>
      </w:r>
      <w:r>
        <w:t xml:space="preserve"> Selecting a big science and a PII-rich use case which can be implemented in the NIST hybrid cloud and highlight Big Data Variety and Velocity. Probably a streaming use case that simulates IoT end points and uses analytics aggressively.</w:t>
      </w:r>
    </w:p>
    <w:p w:rsidR="00EF433A" w:rsidRDefault="00EF433A" w:rsidP="00EF433A">
      <w:pPr>
        <w:pStyle w:val="NoSpacing"/>
        <w:numPr>
          <w:ilvl w:val="0"/>
          <w:numId w:val="45"/>
        </w:numPr>
        <w:ind w:left="1170"/>
      </w:pPr>
      <w:r>
        <w:rPr>
          <w:b/>
          <w:bCs/>
        </w:rPr>
        <w:t>Implementer Guide</w:t>
      </w:r>
      <w:r>
        <w:t xml:space="preserve"> that could be adapted by agencies wanting to get their feet wet in Big Data; identify where additional support might be needed (e.g., what a supporting SOW might need to have in it); </w:t>
      </w:r>
    </w:p>
    <w:p w:rsidR="00EF433A" w:rsidRDefault="00EF433A" w:rsidP="00EF433A">
      <w:pPr>
        <w:pStyle w:val="NoSpacing"/>
        <w:numPr>
          <w:ilvl w:val="0"/>
          <w:numId w:val="45"/>
        </w:numPr>
        <w:ind w:left="1170"/>
      </w:pPr>
      <w:r>
        <w:rPr>
          <w:b/>
          <w:bCs/>
        </w:rPr>
        <w:t>Flesh out Orchestration</w:t>
      </w:r>
      <w:r>
        <w:t xml:space="preserve"> (6) walkthrough and/or actual example(s) of orchestration across logical boundaries in the RA, probably superimposed on Docker (see also Amazon SWF,  Google Kubernetes, Apache Falcon, Spring Cloud Dataflow,  Bluemix Websphere Cast Iron, Apcera, Mesos, etc.). Focus on data movement across RA and organizational boundaries. Our examples need to incorporate risk, ownership, provenance, etc. and go beyond cloud orchestration alone by addressing, e.g., sensor data and on-premises applications.</w:t>
      </w:r>
    </w:p>
    <w:p w:rsidR="00EF433A" w:rsidRDefault="00EF433A" w:rsidP="00EF433A">
      <w:pPr>
        <w:pStyle w:val="NoSpacing"/>
        <w:numPr>
          <w:ilvl w:val="0"/>
          <w:numId w:val="45"/>
        </w:numPr>
        <w:ind w:left="1170"/>
      </w:pPr>
      <w:r>
        <w:rPr>
          <w:b/>
          <w:bCs/>
        </w:rPr>
        <w:t xml:space="preserve">SnP Version 2 </w:t>
      </w:r>
      <w:r>
        <w:t xml:space="preserve">Two tracks: one Big Data SnP Fabric: Technical, one a narrative: Big Data SnP Fabric: Emerging Processes. The narrative track adapts takes the crosswalk standards document (the long Word doc with a list of standards or recommended practices) and offers a non-proscriptive discussion which references the RA whenever possible. (It can morph to something that supports conformance documents, but that might not happen in the proposed timeframe). The narrative incorporates improvements to taxonomy and makes clearer where policy and technology solutions for SnP can be separated (this is a recurring source of confusion). </w:t>
      </w:r>
    </w:p>
    <w:p w:rsidR="00EF433A" w:rsidRDefault="00EF433A" w:rsidP="00EF433A">
      <w:pPr>
        <w:pStyle w:val="NoSpacing"/>
        <w:numPr>
          <w:ilvl w:val="0"/>
          <w:numId w:val="45"/>
        </w:numPr>
        <w:ind w:left="1170"/>
      </w:pPr>
      <w:r>
        <w:rPr>
          <w:b/>
          <w:bCs/>
        </w:rPr>
        <w:t>Value, Governance, Ownership</w:t>
      </w:r>
      <w:r>
        <w:t xml:space="preserve"> There are overlaps with systems management (SysMan), but key aspects are related to Big Data SnP. Create a SysMan section for each major component in the RA, then address value, governance, ownership, privacy etc. in that context. The fabric concept tends to emerge from this level of discussion rather than speaking of privacy or ownership in the abstract. </w:t>
      </w:r>
    </w:p>
    <w:p w:rsidR="00EF433A" w:rsidRDefault="00EF433A" w:rsidP="00EF433A">
      <w:pPr>
        <w:pStyle w:val="NoSpacing"/>
        <w:numPr>
          <w:ilvl w:val="0"/>
          <w:numId w:val="45"/>
        </w:numPr>
        <w:ind w:left="1170"/>
      </w:pPr>
      <w:r>
        <w:rPr>
          <w:b/>
          <w:bCs/>
        </w:rPr>
        <w:t>Big Data Analytics / Data Science</w:t>
      </w:r>
      <w:r>
        <w:t xml:space="preserve"> Not mentioned in Wo’s list directly, but the use of “synthetic categories” and classifications through deep learning or other means is a Big Data concern. See this lay discussion on the subject of Big Analytics Failure. It’s related to provenance, but that’s not the whole story.</w:t>
      </w:r>
    </w:p>
    <w:p w:rsidR="00EF433A" w:rsidRDefault="00EF433A" w:rsidP="00EF433A">
      <w:pPr>
        <w:pStyle w:val="NoSpacing"/>
      </w:pPr>
    </w:p>
    <w:p w:rsidR="00EF433A" w:rsidRDefault="00EF433A" w:rsidP="00EF433A">
      <w:pPr>
        <w:pStyle w:val="NoSpacing"/>
        <w:numPr>
          <w:ilvl w:val="0"/>
          <w:numId w:val="44"/>
        </w:numPr>
      </w:pPr>
      <w:r>
        <w:t>From Vol. 5 White Paper Survey, No Future Work for now</w:t>
      </w:r>
    </w:p>
    <w:p w:rsidR="00EF433A" w:rsidRDefault="00EF433A" w:rsidP="00EF433A">
      <w:pPr>
        <w:pStyle w:val="NoSpacing"/>
      </w:pPr>
    </w:p>
    <w:p w:rsidR="00EF433A" w:rsidRDefault="00EF433A" w:rsidP="00EF433A">
      <w:pPr>
        <w:pStyle w:val="NoSpacing"/>
        <w:numPr>
          <w:ilvl w:val="0"/>
          <w:numId w:val="44"/>
        </w:numPr>
      </w:pPr>
      <w:r>
        <w:t xml:space="preserve">From Vol. 6 Reference Architecture, Section 1.5, Future Work (with updates) – David </w:t>
      </w:r>
    </w:p>
    <w:p w:rsidR="00EF433A" w:rsidRDefault="00EF433A" w:rsidP="00EF433A">
      <w:pPr>
        <w:pStyle w:val="NoSpacing"/>
        <w:ind w:firstLine="720"/>
      </w:pPr>
      <w:r>
        <w:t>[Wo will actively work on this area]</w:t>
      </w:r>
    </w:p>
    <w:p w:rsidR="00EF433A" w:rsidRDefault="00EF433A" w:rsidP="00EF433A">
      <w:pPr>
        <w:pStyle w:val="NoSpacing"/>
        <w:numPr>
          <w:ilvl w:val="1"/>
          <w:numId w:val="44"/>
        </w:numPr>
      </w:pPr>
      <w:r>
        <w:lastRenderedPageBreak/>
        <w:t>Reference Architecture Refinement</w:t>
      </w:r>
    </w:p>
    <w:p w:rsidR="00EF433A" w:rsidRDefault="00EF433A" w:rsidP="00EF433A">
      <w:pPr>
        <w:pStyle w:val="NoSpacing"/>
        <w:numPr>
          <w:ilvl w:val="2"/>
          <w:numId w:val="44"/>
        </w:numPr>
      </w:pPr>
      <w:r>
        <w:t>Establish activity and functional component views beyond the current conceptual view</w:t>
      </w:r>
    </w:p>
    <w:p w:rsidR="00EF433A" w:rsidRDefault="00EF433A" w:rsidP="00EF433A">
      <w:pPr>
        <w:pStyle w:val="NoSpacing"/>
        <w:numPr>
          <w:ilvl w:val="2"/>
          <w:numId w:val="44"/>
        </w:numPr>
      </w:pPr>
      <w:r>
        <w:t>Define high level and general activities and functional components with in each view</w:t>
      </w:r>
    </w:p>
    <w:p w:rsidR="00EF433A" w:rsidRDefault="00EF433A" w:rsidP="00EF433A">
      <w:pPr>
        <w:pStyle w:val="NoSpacing"/>
        <w:numPr>
          <w:ilvl w:val="2"/>
          <w:numId w:val="44"/>
        </w:numPr>
      </w:pPr>
      <w:r>
        <w:t>Identify high level stakeholder and map their concerns to activities and functional components</w:t>
      </w:r>
    </w:p>
    <w:p w:rsidR="00EF433A" w:rsidRDefault="00EF433A" w:rsidP="00EF433A">
      <w:pPr>
        <w:pStyle w:val="NoSpacing"/>
        <w:numPr>
          <w:ilvl w:val="1"/>
          <w:numId w:val="44"/>
        </w:numPr>
      </w:pPr>
      <w:r>
        <w:t>Reference Architecture application</w:t>
      </w:r>
    </w:p>
    <w:p w:rsidR="00EF433A" w:rsidRDefault="00EF433A" w:rsidP="00EF433A">
      <w:pPr>
        <w:pStyle w:val="NoSpacing"/>
        <w:numPr>
          <w:ilvl w:val="2"/>
          <w:numId w:val="44"/>
        </w:numPr>
      </w:pPr>
      <w:r>
        <w:t xml:space="preserve">Establish white paper template (before March 20) </w:t>
      </w:r>
    </w:p>
    <w:p w:rsidR="00EF433A" w:rsidRDefault="00EF433A" w:rsidP="00EF433A">
      <w:pPr>
        <w:pStyle w:val="NoSpacing"/>
        <w:numPr>
          <w:ilvl w:val="2"/>
          <w:numId w:val="44"/>
        </w:numPr>
      </w:pPr>
      <w:r>
        <w:t>Implement the NIST identified six use cases and/or other use cases from the 62 (51 generals and 11 security and privacy) collected use cases or others</w:t>
      </w:r>
    </w:p>
    <w:p w:rsidR="00EF433A" w:rsidRDefault="00EF433A" w:rsidP="00EF433A">
      <w:pPr>
        <w:pStyle w:val="NoSpacing"/>
        <w:numPr>
          <w:ilvl w:val="2"/>
          <w:numId w:val="44"/>
        </w:numPr>
      </w:pPr>
      <w:r>
        <w:t>Identify development environment (NIST hybrid cloud) for hosting the use case implementations</w:t>
      </w:r>
    </w:p>
    <w:p w:rsidR="00EF433A" w:rsidRDefault="00EF433A" w:rsidP="00EF433A">
      <w:pPr>
        <w:pStyle w:val="NoSpacing"/>
        <w:numPr>
          <w:ilvl w:val="2"/>
          <w:numId w:val="44"/>
        </w:numPr>
      </w:pPr>
      <w:r>
        <w:t>Create white papers by working with domain experts to identify workflow and interactions among the NBDRA components and fabrics</w:t>
      </w:r>
    </w:p>
    <w:p w:rsidR="00EF433A" w:rsidRDefault="00EF433A" w:rsidP="00EF433A">
      <w:pPr>
        <w:pStyle w:val="NoSpacing"/>
        <w:numPr>
          <w:ilvl w:val="2"/>
          <w:numId w:val="44"/>
        </w:numPr>
      </w:pPr>
      <w:r>
        <w:t xml:space="preserve">Review, analyze white papers high-level interactions and workflows and aggregate them into preliminary general interfaces </w:t>
      </w:r>
    </w:p>
    <w:p w:rsidR="00EF433A" w:rsidRDefault="00EF433A" w:rsidP="00EF433A">
      <w:pPr>
        <w:pStyle w:val="NoSpacing"/>
      </w:pPr>
    </w:p>
    <w:p w:rsidR="00EF433A" w:rsidRDefault="00EF433A" w:rsidP="00EF433A">
      <w:pPr>
        <w:pStyle w:val="NoSpacing"/>
        <w:numPr>
          <w:ilvl w:val="0"/>
          <w:numId w:val="44"/>
        </w:numPr>
      </w:pPr>
      <w:r>
        <w:t xml:space="preserve">From Vol. 7 Standards Roadmap, Section 1.5, Future Work (with updates) – Russell </w:t>
      </w:r>
    </w:p>
    <w:p w:rsidR="00EF433A" w:rsidRDefault="00EF433A" w:rsidP="00EF433A">
      <w:pPr>
        <w:pStyle w:val="NoSpacing"/>
        <w:numPr>
          <w:ilvl w:val="1"/>
          <w:numId w:val="44"/>
        </w:numPr>
      </w:pPr>
      <w:r>
        <w:t>Examine all version 1 volumes and:</w:t>
      </w:r>
    </w:p>
    <w:p w:rsidR="00EF433A" w:rsidRDefault="00EF433A" w:rsidP="00EF433A">
      <w:pPr>
        <w:pStyle w:val="NoSpacing"/>
        <w:numPr>
          <w:ilvl w:val="2"/>
          <w:numId w:val="44"/>
        </w:numPr>
      </w:pPr>
      <w:r>
        <w:t>Identify available standards, and those under development</w:t>
      </w:r>
    </w:p>
    <w:p w:rsidR="00EF433A" w:rsidRDefault="00EF433A" w:rsidP="00EF433A">
      <w:pPr>
        <w:pStyle w:val="NoSpacing"/>
        <w:numPr>
          <w:ilvl w:val="2"/>
          <w:numId w:val="44"/>
        </w:numPr>
      </w:pPr>
      <w:r>
        <w:t>Gap the differences between version 1 volumes and list of standards, and continue to build and refine the gap analysis and document the findings;</w:t>
      </w:r>
    </w:p>
    <w:p w:rsidR="00EF433A" w:rsidRDefault="00EF433A" w:rsidP="00EF433A">
      <w:pPr>
        <w:pStyle w:val="NoSpacing"/>
        <w:numPr>
          <w:ilvl w:val="2"/>
          <w:numId w:val="44"/>
        </w:numPr>
      </w:pPr>
      <w:r>
        <w:t>Extend related SDO listing and establish criteria on how to select relevant SDOs</w:t>
      </w:r>
    </w:p>
    <w:p w:rsidR="00EF433A" w:rsidRDefault="00EF433A" w:rsidP="00EF433A">
      <w:pPr>
        <w:pStyle w:val="NoSpacing"/>
        <w:numPr>
          <w:ilvl w:val="2"/>
          <w:numId w:val="44"/>
        </w:numPr>
      </w:pPr>
      <w:r>
        <w:t>Support harmonizing of terminology between volumes</w:t>
      </w:r>
    </w:p>
    <w:p w:rsidR="00EF433A" w:rsidRDefault="00EF433A" w:rsidP="00EF433A">
      <w:pPr>
        <w:pStyle w:val="NoSpacing"/>
        <w:numPr>
          <w:ilvl w:val="1"/>
          <w:numId w:val="44"/>
        </w:numPr>
      </w:pPr>
      <w:r>
        <w:t>Identify early adopters from academia, government and industry</w:t>
      </w:r>
    </w:p>
    <w:p w:rsidR="00EF433A" w:rsidRDefault="00EF433A" w:rsidP="00EF433A">
      <w:pPr>
        <w:pStyle w:val="NoSpacing"/>
        <w:numPr>
          <w:ilvl w:val="1"/>
          <w:numId w:val="44"/>
        </w:numPr>
      </w:pPr>
      <w:r>
        <w:t>Identify barriers to big data adoption</w:t>
      </w:r>
    </w:p>
    <w:p w:rsidR="00EF433A" w:rsidRDefault="00EF433A" w:rsidP="00EF433A">
      <w:pPr>
        <w:pStyle w:val="NoSpacing"/>
        <w:numPr>
          <w:ilvl w:val="1"/>
          <w:numId w:val="44"/>
        </w:numPr>
      </w:pPr>
      <w:r>
        <w:t>Identify where standards may accelerate the adoption and interoperability of Big Data technologies;</w:t>
      </w:r>
    </w:p>
    <w:p w:rsidR="00EF433A" w:rsidRDefault="00EF433A" w:rsidP="00EF433A">
      <w:pPr>
        <w:pStyle w:val="NoSpacing"/>
        <w:numPr>
          <w:ilvl w:val="1"/>
          <w:numId w:val="44"/>
        </w:numPr>
      </w:pPr>
      <w:r>
        <w:t>Further map standards to NBDRA components and the interfaces between them.</w:t>
      </w:r>
    </w:p>
    <w:p w:rsidR="00EF433A" w:rsidRDefault="00EF433A" w:rsidP="00EF433A">
      <w:pPr>
        <w:pStyle w:val="NoSpacing"/>
        <w:numPr>
          <w:ilvl w:val="2"/>
          <w:numId w:val="44"/>
        </w:numPr>
      </w:pPr>
      <w:r>
        <w:t>Enhance gap analysis on how to enable the RA</w:t>
      </w:r>
    </w:p>
    <w:p w:rsidR="00EF433A" w:rsidRDefault="00EF433A" w:rsidP="00EF433A">
      <w:pPr>
        <w:pStyle w:val="NoSpacing"/>
        <w:numPr>
          <w:ilvl w:val="1"/>
          <w:numId w:val="44"/>
        </w:numPr>
      </w:pPr>
      <w:r>
        <w:t>Document vision and recommendations for future standards activities</w:t>
      </w:r>
    </w:p>
    <w:p w:rsidR="00EF433A" w:rsidRDefault="00EF433A" w:rsidP="00EF433A">
      <w:pPr>
        <w:pStyle w:val="NoSpacing"/>
        <w:numPr>
          <w:ilvl w:val="1"/>
          <w:numId w:val="44"/>
        </w:numPr>
      </w:pPr>
      <w:r>
        <w:t xml:space="preserve">Engage communities to attract additional BDWG participation and drive consensus on how big data should move forward. </w:t>
      </w:r>
    </w:p>
    <w:p w:rsidR="00EF433A" w:rsidRDefault="00EF433A" w:rsidP="00EF433A">
      <w:pPr>
        <w:pStyle w:val="NoSpacing"/>
      </w:pPr>
    </w:p>
    <w:p w:rsidR="00EF433A" w:rsidRDefault="00EF433A" w:rsidP="00EF433A">
      <w:pPr>
        <w:pStyle w:val="NoSpacing"/>
      </w:pPr>
      <w:r>
        <w:t xml:space="preserve">[1]  Shantenu Jha, Judy Qiu, Andre Luckow, Pradeep Mantha, and Geoffrey C. Fox, “A Tale of Two Data-Intensive Approaches: Applications, Architectures and Infrastructure, in 3rd International IEEE Congress on Big Data Application and Experience Track,” Cornell University Library, June 27- July 2, 2014, </w:t>
      </w:r>
      <w:hyperlink r:id="rId9" w:history="1">
        <w:r>
          <w:rPr>
            <w:rStyle w:val="Hyperlink"/>
          </w:rPr>
          <w:t>http://arxiv.org/abs/1403.1528</w:t>
        </w:r>
      </w:hyperlink>
      <w:r>
        <w:t xml:space="preserve">. </w:t>
      </w:r>
    </w:p>
    <w:p w:rsidR="00EF433A" w:rsidRDefault="00EF433A" w:rsidP="00EF433A">
      <w:pPr>
        <w:pStyle w:val="NoSpacing"/>
      </w:pPr>
      <w:r>
        <w:t xml:space="preserve">[2] Judy Qiu, Shantenu Jha, Andre Luckow, and Geoffrey C. Fox, “Towards HPC-ABDS: An Initial High-Performance Big Data Stack,” Indiana University, August 8, 2014. </w:t>
      </w:r>
      <w:hyperlink r:id="rId10" w:history="1">
        <w:r>
          <w:rPr>
            <w:rStyle w:val="Hyperlink"/>
          </w:rPr>
          <w:t>http://grids.ucs.indiana.edu/ptliupages/publications/nist-hpc-abds.pdf</w:t>
        </w:r>
      </w:hyperlink>
      <w:r>
        <w:t xml:space="preserve">. </w:t>
      </w:r>
    </w:p>
    <w:p w:rsidR="00EF433A" w:rsidRDefault="00EF433A" w:rsidP="00EF433A">
      <w:pPr>
        <w:pStyle w:val="NoSpacing"/>
      </w:pPr>
      <w:r>
        <w:t xml:space="preserve">[3] Geoffrey Fox, Judy Qiu, and Shantenu Jha, “High Performance High Functionality Big Data Software Stack, in Big Data and Extreme-scale Computing (BDEC),” Indiana and Rutgers Universities, 2014. </w:t>
      </w:r>
      <w:hyperlink r:id="rId11" w:history="1">
        <w:r>
          <w:rPr>
            <w:rStyle w:val="Hyperlink"/>
          </w:rPr>
          <w:t>http://www.exascale.org/bdec/sites/www.exascale.org.bdec/files/whitepapers/fox.pdf</w:t>
        </w:r>
      </w:hyperlink>
      <w:r>
        <w:t xml:space="preserve">. </w:t>
      </w:r>
    </w:p>
    <w:p w:rsidR="00EF433A" w:rsidRDefault="00EF433A" w:rsidP="00EF433A">
      <w:pPr>
        <w:pStyle w:val="NoSpacing"/>
      </w:pPr>
      <w:r>
        <w:t xml:space="preserve">[4] Geoffrey C. Fox, Shantenu Jha, Judy Qiu, and Andre Luckow, “Towards an Understanding of Facets and Exemplars of Big Data Applications,” Indiana University, July 20, 2014. </w:t>
      </w:r>
      <w:hyperlink r:id="rId12" w:history="1">
        <w:r>
          <w:rPr>
            <w:rStyle w:val="Hyperlink"/>
          </w:rPr>
          <w:t>http://grids.ucs.indiana.edu/ptliupages/publications/OgrePaperv9.pdf</w:t>
        </w:r>
      </w:hyperlink>
      <w:r>
        <w:t xml:space="preserve">. </w:t>
      </w:r>
    </w:p>
    <w:p w:rsidR="00EF433A" w:rsidRDefault="00EF433A" w:rsidP="00EF433A">
      <w:pPr>
        <w:pStyle w:val="NoSpacing"/>
      </w:pPr>
      <w:r>
        <w:lastRenderedPageBreak/>
        <w:t xml:space="preserve">[5] Geoffrey Fox and Wo Chang, “Big Data Use Cases and Requirements,” Indiana University, August 10, 2014. </w:t>
      </w:r>
      <w:hyperlink r:id="rId13" w:history="1">
        <w:r>
          <w:rPr>
            <w:rStyle w:val="Hyperlink"/>
          </w:rPr>
          <w:t>http://grids.ucs.indiana.edu/ptliupages/publications/NISTUseCase.pdf</w:t>
        </w:r>
      </w:hyperlink>
      <w:r>
        <w:t xml:space="preserve">. </w:t>
      </w:r>
    </w:p>
    <w:p w:rsidR="00EF433A" w:rsidRDefault="00EF433A" w:rsidP="00EF433A">
      <w:pPr>
        <w:pStyle w:val="NoSpacing"/>
      </w:pPr>
      <w:r>
        <w:t xml:space="preserve">[6] Geoffrey Fox. “INFO 590 Indiana University Online Class: Big Data Open Source Software and Projects,” Indiana University, 2014 [accessed December 11, 2014], </w:t>
      </w:r>
      <w:hyperlink r:id="rId14" w:history="1">
        <w:r>
          <w:rPr>
            <w:rStyle w:val="Hyperlink"/>
          </w:rPr>
          <w:t>http://bigdataopensourceprojects.soic.indiana.edu/</w:t>
        </w:r>
      </w:hyperlink>
      <w:r>
        <w:t xml:space="preserve">. </w:t>
      </w:r>
    </w:p>
    <w:p w:rsidR="00EF433A" w:rsidRDefault="00EF433A" w:rsidP="00EF433A">
      <w:pPr>
        <w:pStyle w:val="NoSpacing"/>
      </w:pPr>
      <w:r>
        <w:t>[7] DRAFT Privacy Risk Management for Federal Information Systems</w:t>
      </w:r>
    </w:p>
    <w:p w:rsidR="00EF433A" w:rsidRDefault="00EF433A" w:rsidP="00EF433A">
      <w:pPr>
        <w:pStyle w:val="NoSpacing"/>
      </w:pPr>
      <w:hyperlink r:id="rId15" w:history="1">
        <w:r>
          <w:rPr>
            <w:rStyle w:val="Hyperlink"/>
          </w:rPr>
          <w:t>http://csrc.nist.gov/publications/drafts/nistir-8062/nistir_8062_draft.pdf</w:t>
        </w:r>
      </w:hyperlink>
      <w:r>
        <w:rPr>
          <w:lang w:val="en-GB"/>
        </w:rPr>
        <w:t xml:space="preserve"> </w:t>
      </w:r>
    </w:p>
    <w:p w:rsidR="00EF433A" w:rsidRDefault="00EF433A" w:rsidP="00EF433A"/>
    <w:p w:rsidR="00221763" w:rsidRPr="00EF433A" w:rsidRDefault="00221763" w:rsidP="00EF433A">
      <w:bookmarkStart w:id="0" w:name="_GoBack"/>
      <w:bookmarkEnd w:id="0"/>
    </w:p>
    <w:sectPr w:rsidR="00221763" w:rsidRPr="00EF433A" w:rsidSect="00D01EB7">
      <w:footerReference w:type="default" r:id="rId16"/>
      <w:pgSz w:w="12240" w:h="15840"/>
      <w:pgMar w:top="144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268" w:rsidRDefault="00732268" w:rsidP="00D125C5">
      <w:r>
        <w:separator/>
      </w:r>
    </w:p>
  </w:endnote>
  <w:endnote w:type="continuationSeparator" w:id="0">
    <w:p w:rsidR="00732268" w:rsidRDefault="00732268" w:rsidP="00D1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737110"/>
      <w:docPartObj>
        <w:docPartGallery w:val="Page Numbers (Bottom of Page)"/>
        <w:docPartUnique/>
      </w:docPartObj>
    </w:sdtPr>
    <w:sdtEndPr>
      <w:rPr>
        <w:noProof/>
      </w:rPr>
    </w:sdtEndPr>
    <w:sdtContent>
      <w:p w:rsidR="008F46DB" w:rsidRDefault="008F46DB">
        <w:pPr>
          <w:pStyle w:val="Footer"/>
          <w:jc w:val="right"/>
        </w:pPr>
        <w:r>
          <w:fldChar w:fldCharType="begin"/>
        </w:r>
        <w:r>
          <w:instrText xml:space="preserve"> PAGE   \* MERGEFORMAT </w:instrText>
        </w:r>
        <w:r>
          <w:fldChar w:fldCharType="separate"/>
        </w:r>
        <w:r w:rsidR="00EF433A">
          <w:rPr>
            <w:noProof/>
          </w:rPr>
          <w:t>1</w:t>
        </w:r>
        <w:r>
          <w:rPr>
            <w:noProof/>
          </w:rPr>
          <w:fldChar w:fldCharType="end"/>
        </w:r>
      </w:p>
    </w:sdtContent>
  </w:sdt>
  <w:p w:rsidR="008F46DB" w:rsidRDefault="008F46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268" w:rsidRDefault="00732268" w:rsidP="00D125C5">
      <w:r>
        <w:separator/>
      </w:r>
    </w:p>
  </w:footnote>
  <w:footnote w:type="continuationSeparator" w:id="0">
    <w:p w:rsidR="00732268" w:rsidRDefault="00732268" w:rsidP="00D12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99C"/>
    <w:multiLevelType w:val="hybridMultilevel"/>
    <w:tmpl w:val="A9B0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2CB7"/>
    <w:multiLevelType w:val="hybridMultilevel"/>
    <w:tmpl w:val="A9B0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C1D1F"/>
    <w:multiLevelType w:val="hybridMultilevel"/>
    <w:tmpl w:val="A9B0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4BBB"/>
    <w:multiLevelType w:val="hybridMultilevel"/>
    <w:tmpl w:val="D490332C"/>
    <w:lvl w:ilvl="0" w:tplc="04090019">
      <w:start w:val="1"/>
      <w:numFmt w:val="lowerLetter"/>
      <w:lvlText w:val="%1."/>
      <w:lvlJc w:val="left"/>
      <w:pPr>
        <w:ind w:left="81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35A61"/>
    <w:multiLevelType w:val="hybridMultilevel"/>
    <w:tmpl w:val="A9B0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195C9B"/>
    <w:multiLevelType w:val="hybridMultilevel"/>
    <w:tmpl w:val="2B56C7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73B477B"/>
    <w:multiLevelType w:val="hybridMultilevel"/>
    <w:tmpl w:val="A9B0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F6632"/>
    <w:multiLevelType w:val="hybridMultilevel"/>
    <w:tmpl w:val="9FC4A4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9DE56AB"/>
    <w:multiLevelType w:val="hybridMultilevel"/>
    <w:tmpl w:val="A9B067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347CB8"/>
    <w:multiLevelType w:val="hybridMultilevel"/>
    <w:tmpl w:val="11D0CD74"/>
    <w:lvl w:ilvl="0" w:tplc="51300292">
      <w:start w:val="1"/>
      <w:numFmt w:val="bullet"/>
      <w:pStyle w:val="BDTextBulletList"/>
      <w:lvlText w:val=""/>
      <w:lvlJc w:val="left"/>
      <w:pPr>
        <w:ind w:left="81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3108F"/>
    <w:multiLevelType w:val="hybridMultilevel"/>
    <w:tmpl w:val="A9B0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46E01"/>
    <w:multiLevelType w:val="hybridMultilevel"/>
    <w:tmpl w:val="FA38E7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5B60786"/>
    <w:multiLevelType w:val="hybridMultilevel"/>
    <w:tmpl w:val="AE4E6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C924D0A"/>
    <w:multiLevelType w:val="hybridMultilevel"/>
    <w:tmpl w:val="05F872A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EA0131E"/>
    <w:multiLevelType w:val="hybridMultilevel"/>
    <w:tmpl w:val="0E9008C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3994A57"/>
    <w:multiLevelType w:val="hybridMultilevel"/>
    <w:tmpl w:val="46B60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25A10"/>
    <w:multiLevelType w:val="hybridMultilevel"/>
    <w:tmpl w:val="A9B0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0666D"/>
    <w:multiLevelType w:val="hybridMultilevel"/>
    <w:tmpl w:val="A9B0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906B69"/>
    <w:multiLevelType w:val="hybridMultilevel"/>
    <w:tmpl w:val="D490332C"/>
    <w:lvl w:ilvl="0" w:tplc="04090019">
      <w:start w:val="1"/>
      <w:numFmt w:val="lowerLetter"/>
      <w:lvlText w:val="%1."/>
      <w:lvlJc w:val="left"/>
      <w:pPr>
        <w:ind w:left="81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6645A"/>
    <w:multiLevelType w:val="hybridMultilevel"/>
    <w:tmpl w:val="1A6ACA7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03226C7"/>
    <w:multiLevelType w:val="hybridMultilevel"/>
    <w:tmpl w:val="D490332C"/>
    <w:lvl w:ilvl="0" w:tplc="04090019">
      <w:start w:val="1"/>
      <w:numFmt w:val="lowerLetter"/>
      <w:lvlText w:val="%1."/>
      <w:lvlJc w:val="left"/>
      <w:pPr>
        <w:ind w:left="81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08257E"/>
    <w:multiLevelType w:val="hybridMultilevel"/>
    <w:tmpl w:val="A9B067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E926BA"/>
    <w:multiLevelType w:val="hybridMultilevel"/>
    <w:tmpl w:val="1E1C9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723F7C"/>
    <w:multiLevelType w:val="hybridMultilevel"/>
    <w:tmpl w:val="A9B0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C5E11"/>
    <w:multiLevelType w:val="hybridMultilevel"/>
    <w:tmpl w:val="96166838"/>
    <w:lvl w:ilvl="0" w:tplc="A1248AF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CA6FD4"/>
    <w:multiLevelType w:val="hybridMultilevel"/>
    <w:tmpl w:val="A9B0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0654A8"/>
    <w:multiLevelType w:val="hybridMultilevel"/>
    <w:tmpl w:val="A9B0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5B3289"/>
    <w:multiLevelType w:val="hybridMultilevel"/>
    <w:tmpl w:val="D490332C"/>
    <w:lvl w:ilvl="0" w:tplc="04090019">
      <w:start w:val="1"/>
      <w:numFmt w:val="lowerLetter"/>
      <w:lvlText w:val="%1."/>
      <w:lvlJc w:val="left"/>
      <w:pPr>
        <w:ind w:left="81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D314DF"/>
    <w:multiLevelType w:val="hybridMultilevel"/>
    <w:tmpl w:val="D490332C"/>
    <w:lvl w:ilvl="0" w:tplc="04090019">
      <w:start w:val="1"/>
      <w:numFmt w:val="lowerLetter"/>
      <w:lvlText w:val="%1."/>
      <w:lvlJc w:val="left"/>
      <w:pPr>
        <w:ind w:left="81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F1566"/>
    <w:multiLevelType w:val="hybridMultilevel"/>
    <w:tmpl w:val="A9B0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9"/>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2"/>
  </w:num>
  <w:num w:numId="8">
    <w:abstractNumId w:val="26"/>
  </w:num>
  <w:num w:numId="9">
    <w:abstractNumId w:val="16"/>
  </w:num>
  <w:num w:numId="10">
    <w:abstractNumId w:val="23"/>
  </w:num>
  <w:num w:numId="11">
    <w:abstractNumId w:val="10"/>
  </w:num>
  <w:num w:numId="12">
    <w:abstractNumId w:val="0"/>
  </w:num>
  <w:num w:numId="13">
    <w:abstractNumId w:val="17"/>
  </w:num>
  <w:num w:numId="14">
    <w:abstractNumId w:val="6"/>
  </w:num>
  <w:num w:numId="15">
    <w:abstractNumId w:val="1"/>
  </w:num>
  <w:num w:numId="16">
    <w:abstractNumId w:val="4"/>
  </w:num>
  <w:num w:numId="17">
    <w:abstractNumId w:val="29"/>
  </w:num>
  <w:num w:numId="18">
    <w:abstractNumId w:val="8"/>
  </w:num>
  <w:num w:numId="19">
    <w:abstractNumId w:val="21"/>
  </w:num>
  <w:num w:numId="20">
    <w:abstractNumId w:val="25"/>
  </w:num>
  <w:num w:numId="21">
    <w:abstractNumId w:val="19"/>
  </w:num>
  <w:num w:numId="22">
    <w:abstractNumId w:val="9"/>
  </w:num>
  <w:num w:numId="23">
    <w:abstractNumId w:val="24"/>
  </w:num>
  <w:num w:numId="24">
    <w:abstractNumId w:val="9"/>
  </w:num>
  <w:num w:numId="25">
    <w:abstractNumId w:val="27"/>
  </w:num>
  <w:num w:numId="26">
    <w:abstractNumId w:val="9"/>
  </w:num>
  <w:num w:numId="27">
    <w:abstractNumId w:val="20"/>
  </w:num>
  <w:num w:numId="28">
    <w:abstractNumId w:val="9"/>
  </w:num>
  <w:num w:numId="29">
    <w:abstractNumId w:val="28"/>
  </w:num>
  <w:num w:numId="30">
    <w:abstractNumId w:val="9"/>
  </w:num>
  <w:num w:numId="31">
    <w:abstractNumId w:val="18"/>
  </w:num>
  <w:num w:numId="32">
    <w:abstractNumId w:val="9"/>
  </w:num>
  <w:num w:numId="33">
    <w:abstractNumId w:val="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14"/>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39"/>
    <w:rsid w:val="000050B0"/>
    <w:rsid w:val="0001199A"/>
    <w:rsid w:val="00017DEB"/>
    <w:rsid w:val="00024C85"/>
    <w:rsid w:val="00025772"/>
    <w:rsid w:val="00027625"/>
    <w:rsid w:val="00055BBF"/>
    <w:rsid w:val="00072E43"/>
    <w:rsid w:val="0007429A"/>
    <w:rsid w:val="00091694"/>
    <w:rsid w:val="00097C14"/>
    <w:rsid w:val="000B3D17"/>
    <w:rsid w:val="000B6995"/>
    <w:rsid w:val="000C4C4B"/>
    <w:rsid w:val="000C4FBB"/>
    <w:rsid w:val="000D0E62"/>
    <w:rsid w:val="000D10DB"/>
    <w:rsid w:val="000D6C02"/>
    <w:rsid w:val="000D702F"/>
    <w:rsid w:val="000E3D16"/>
    <w:rsid w:val="000E599C"/>
    <w:rsid w:val="000F5515"/>
    <w:rsid w:val="000F5F0A"/>
    <w:rsid w:val="000F70C7"/>
    <w:rsid w:val="001027FD"/>
    <w:rsid w:val="0010625F"/>
    <w:rsid w:val="00107407"/>
    <w:rsid w:val="001075D0"/>
    <w:rsid w:val="00117298"/>
    <w:rsid w:val="00122341"/>
    <w:rsid w:val="00132BEB"/>
    <w:rsid w:val="00136567"/>
    <w:rsid w:val="001448EF"/>
    <w:rsid w:val="00147064"/>
    <w:rsid w:val="001532EC"/>
    <w:rsid w:val="00163939"/>
    <w:rsid w:val="00165166"/>
    <w:rsid w:val="00165269"/>
    <w:rsid w:val="00167653"/>
    <w:rsid w:val="00171F9F"/>
    <w:rsid w:val="001724C5"/>
    <w:rsid w:val="00172E45"/>
    <w:rsid w:val="00173243"/>
    <w:rsid w:val="00177862"/>
    <w:rsid w:val="00184CEB"/>
    <w:rsid w:val="00185DEB"/>
    <w:rsid w:val="00193B93"/>
    <w:rsid w:val="001A10CF"/>
    <w:rsid w:val="001A20BD"/>
    <w:rsid w:val="001A52C8"/>
    <w:rsid w:val="001A788A"/>
    <w:rsid w:val="001B0177"/>
    <w:rsid w:val="001B039D"/>
    <w:rsid w:val="001B2B1B"/>
    <w:rsid w:val="001B4264"/>
    <w:rsid w:val="001B5626"/>
    <w:rsid w:val="001B7ADE"/>
    <w:rsid w:val="001C40E9"/>
    <w:rsid w:val="001C6762"/>
    <w:rsid w:val="001C7A63"/>
    <w:rsid w:val="001C7F4A"/>
    <w:rsid w:val="001E226B"/>
    <w:rsid w:val="001E7DF5"/>
    <w:rsid w:val="001F742E"/>
    <w:rsid w:val="001F7A7D"/>
    <w:rsid w:val="00206202"/>
    <w:rsid w:val="00213649"/>
    <w:rsid w:val="00216C8D"/>
    <w:rsid w:val="00221763"/>
    <w:rsid w:val="00230799"/>
    <w:rsid w:val="00230864"/>
    <w:rsid w:val="00233CDD"/>
    <w:rsid w:val="00235FE5"/>
    <w:rsid w:val="00236808"/>
    <w:rsid w:val="00243376"/>
    <w:rsid w:val="00245A0A"/>
    <w:rsid w:val="002460B6"/>
    <w:rsid w:val="002556ED"/>
    <w:rsid w:val="00257428"/>
    <w:rsid w:val="00262BC9"/>
    <w:rsid w:val="00272390"/>
    <w:rsid w:val="002723A1"/>
    <w:rsid w:val="00272F90"/>
    <w:rsid w:val="00276639"/>
    <w:rsid w:val="002842A3"/>
    <w:rsid w:val="002936A7"/>
    <w:rsid w:val="00294375"/>
    <w:rsid w:val="002955B7"/>
    <w:rsid w:val="002959A9"/>
    <w:rsid w:val="002A75F0"/>
    <w:rsid w:val="002B2377"/>
    <w:rsid w:val="002B267D"/>
    <w:rsid w:val="002B2B0F"/>
    <w:rsid w:val="002C1BDD"/>
    <w:rsid w:val="002C5C11"/>
    <w:rsid w:val="002D2CC0"/>
    <w:rsid w:val="002E0DC7"/>
    <w:rsid w:val="002E741D"/>
    <w:rsid w:val="002E78D6"/>
    <w:rsid w:val="002F0860"/>
    <w:rsid w:val="002F284A"/>
    <w:rsid w:val="002F6AF7"/>
    <w:rsid w:val="0030036A"/>
    <w:rsid w:val="00302E3E"/>
    <w:rsid w:val="003055E4"/>
    <w:rsid w:val="00307CC8"/>
    <w:rsid w:val="003100F0"/>
    <w:rsid w:val="00326927"/>
    <w:rsid w:val="003317B1"/>
    <w:rsid w:val="003465AF"/>
    <w:rsid w:val="00346628"/>
    <w:rsid w:val="0034725E"/>
    <w:rsid w:val="00353D7D"/>
    <w:rsid w:val="003543A2"/>
    <w:rsid w:val="0036242E"/>
    <w:rsid w:val="00371063"/>
    <w:rsid w:val="00371451"/>
    <w:rsid w:val="00386921"/>
    <w:rsid w:val="00386B69"/>
    <w:rsid w:val="00386E4F"/>
    <w:rsid w:val="00387C8B"/>
    <w:rsid w:val="00390FEF"/>
    <w:rsid w:val="003956B8"/>
    <w:rsid w:val="003A2562"/>
    <w:rsid w:val="003A440E"/>
    <w:rsid w:val="003A624D"/>
    <w:rsid w:val="003B301B"/>
    <w:rsid w:val="003B7048"/>
    <w:rsid w:val="003C5B5A"/>
    <w:rsid w:val="003D1DBE"/>
    <w:rsid w:val="003D233A"/>
    <w:rsid w:val="003D3ABD"/>
    <w:rsid w:val="003D5641"/>
    <w:rsid w:val="003E2779"/>
    <w:rsid w:val="003F12C6"/>
    <w:rsid w:val="003F5A54"/>
    <w:rsid w:val="00403DF3"/>
    <w:rsid w:val="0040420B"/>
    <w:rsid w:val="00413EF4"/>
    <w:rsid w:val="0041760E"/>
    <w:rsid w:val="00430298"/>
    <w:rsid w:val="004345C4"/>
    <w:rsid w:val="0043483D"/>
    <w:rsid w:val="0043620A"/>
    <w:rsid w:val="00440AE3"/>
    <w:rsid w:val="0044284F"/>
    <w:rsid w:val="004455E1"/>
    <w:rsid w:val="0045544E"/>
    <w:rsid w:val="00456931"/>
    <w:rsid w:val="00457737"/>
    <w:rsid w:val="00466026"/>
    <w:rsid w:val="004729D5"/>
    <w:rsid w:val="00482BFA"/>
    <w:rsid w:val="00484610"/>
    <w:rsid w:val="004A2FA4"/>
    <w:rsid w:val="004A3B27"/>
    <w:rsid w:val="004B568F"/>
    <w:rsid w:val="004C0611"/>
    <w:rsid w:val="004C4A03"/>
    <w:rsid w:val="004C524D"/>
    <w:rsid w:val="004D1119"/>
    <w:rsid w:val="004D7169"/>
    <w:rsid w:val="004E3E9D"/>
    <w:rsid w:val="004F1823"/>
    <w:rsid w:val="004F2D3E"/>
    <w:rsid w:val="004F3967"/>
    <w:rsid w:val="004F452E"/>
    <w:rsid w:val="005047FD"/>
    <w:rsid w:val="00507C6B"/>
    <w:rsid w:val="005112F6"/>
    <w:rsid w:val="0051448B"/>
    <w:rsid w:val="0051775E"/>
    <w:rsid w:val="005241BC"/>
    <w:rsid w:val="005256C8"/>
    <w:rsid w:val="00531CCB"/>
    <w:rsid w:val="00536467"/>
    <w:rsid w:val="00543A72"/>
    <w:rsid w:val="00543F36"/>
    <w:rsid w:val="005444C6"/>
    <w:rsid w:val="00556EC4"/>
    <w:rsid w:val="005608CF"/>
    <w:rsid w:val="00562EE1"/>
    <w:rsid w:val="00567295"/>
    <w:rsid w:val="00567E6B"/>
    <w:rsid w:val="00570B30"/>
    <w:rsid w:val="00571F97"/>
    <w:rsid w:val="00573F11"/>
    <w:rsid w:val="00584187"/>
    <w:rsid w:val="00584617"/>
    <w:rsid w:val="00586841"/>
    <w:rsid w:val="00587FC7"/>
    <w:rsid w:val="0059113E"/>
    <w:rsid w:val="00595F3D"/>
    <w:rsid w:val="005A31BA"/>
    <w:rsid w:val="005B0C35"/>
    <w:rsid w:val="005B316C"/>
    <w:rsid w:val="005B5FD6"/>
    <w:rsid w:val="005D0A46"/>
    <w:rsid w:val="005D1D53"/>
    <w:rsid w:val="005D239B"/>
    <w:rsid w:val="005D56A4"/>
    <w:rsid w:val="005D5874"/>
    <w:rsid w:val="005E4F05"/>
    <w:rsid w:val="005E512F"/>
    <w:rsid w:val="005E51F7"/>
    <w:rsid w:val="005E75BE"/>
    <w:rsid w:val="005F1802"/>
    <w:rsid w:val="005F27F7"/>
    <w:rsid w:val="005F4D69"/>
    <w:rsid w:val="0060117B"/>
    <w:rsid w:val="00610BF1"/>
    <w:rsid w:val="00615293"/>
    <w:rsid w:val="006173DA"/>
    <w:rsid w:val="00620609"/>
    <w:rsid w:val="00623900"/>
    <w:rsid w:val="00625063"/>
    <w:rsid w:val="0062704B"/>
    <w:rsid w:val="00627A92"/>
    <w:rsid w:val="006366B6"/>
    <w:rsid w:val="006400B3"/>
    <w:rsid w:val="00644D38"/>
    <w:rsid w:val="0064529E"/>
    <w:rsid w:val="006479A2"/>
    <w:rsid w:val="00650D41"/>
    <w:rsid w:val="0065696D"/>
    <w:rsid w:val="00657778"/>
    <w:rsid w:val="00665875"/>
    <w:rsid w:val="00665C39"/>
    <w:rsid w:val="00667119"/>
    <w:rsid w:val="006700B8"/>
    <w:rsid w:val="006744FC"/>
    <w:rsid w:val="006836BA"/>
    <w:rsid w:val="00683F36"/>
    <w:rsid w:val="00684B6F"/>
    <w:rsid w:val="00687B92"/>
    <w:rsid w:val="00692E1E"/>
    <w:rsid w:val="00692F6D"/>
    <w:rsid w:val="00693CD3"/>
    <w:rsid w:val="006A0653"/>
    <w:rsid w:val="006B071B"/>
    <w:rsid w:val="006B2037"/>
    <w:rsid w:val="006B6767"/>
    <w:rsid w:val="006C15B6"/>
    <w:rsid w:val="006C1891"/>
    <w:rsid w:val="006D0B8F"/>
    <w:rsid w:val="006D2AA5"/>
    <w:rsid w:val="006D7A66"/>
    <w:rsid w:val="006E517D"/>
    <w:rsid w:val="006F47D9"/>
    <w:rsid w:val="00700CDA"/>
    <w:rsid w:val="00702CC0"/>
    <w:rsid w:val="007106A0"/>
    <w:rsid w:val="007138FB"/>
    <w:rsid w:val="00727D55"/>
    <w:rsid w:val="0073212C"/>
    <w:rsid w:val="00732268"/>
    <w:rsid w:val="0073680C"/>
    <w:rsid w:val="00742B77"/>
    <w:rsid w:val="007464C3"/>
    <w:rsid w:val="0075686D"/>
    <w:rsid w:val="007611B7"/>
    <w:rsid w:val="00773931"/>
    <w:rsid w:val="00784AB6"/>
    <w:rsid w:val="007855CE"/>
    <w:rsid w:val="007925BA"/>
    <w:rsid w:val="00794986"/>
    <w:rsid w:val="00794C8B"/>
    <w:rsid w:val="007B16BB"/>
    <w:rsid w:val="007B6A75"/>
    <w:rsid w:val="007D4C41"/>
    <w:rsid w:val="007D5ED1"/>
    <w:rsid w:val="007D6978"/>
    <w:rsid w:val="007D7298"/>
    <w:rsid w:val="007E0319"/>
    <w:rsid w:val="00800A75"/>
    <w:rsid w:val="00804D6D"/>
    <w:rsid w:val="00805DEE"/>
    <w:rsid w:val="00811AF8"/>
    <w:rsid w:val="008224D8"/>
    <w:rsid w:val="008229F9"/>
    <w:rsid w:val="00825E93"/>
    <w:rsid w:val="00826F8D"/>
    <w:rsid w:val="00842032"/>
    <w:rsid w:val="008650CC"/>
    <w:rsid w:val="00877A77"/>
    <w:rsid w:val="00880F94"/>
    <w:rsid w:val="008852DA"/>
    <w:rsid w:val="00892F3E"/>
    <w:rsid w:val="008A1668"/>
    <w:rsid w:val="008A1898"/>
    <w:rsid w:val="008B01C6"/>
    <w:rsid w:val="008B1E99"/>
    <w:rsid w:val="008B2EB1"/>
    <w:rsid w:val="008B6CC2"/>
    <w:rsid w:val="008B74F1"/>
    <w:rsid w:val="008C6A92"/>
    <w:rsid w:val="008D314E"/>
    <w:rsid w:val="008D6232"/>
    <w:rsid w:val="008D6863"/>
    <w:rsid w:val="008E2251"/>
    <w:rsid w:val="008F04C7"/>
    <w:rsid w:val="008F210E"/>
    <w:rsid w:val="008F46DB"/>
    <w:rsid w:val="009008E2"/>
    <w:rsid w:val="0090627D"/>
    <w:rsid w:val="009074D9"/>
    <w:rsid w:val="00907937"/>
    <w:rsid w:val="00912430"/>
    <w:rsid w:val="009209CB"/>
    <w:rsid w:val="00920B09"/>
    <w:rsid w:val="009217FF"/>
    <w:rsid w:val="00926107"/>
    <w:rsid w:val="00927BA2"/>
    <w:rsid w:val="00933BC6"/>
    <w:rsid w:val="0094179D"/>
    <w:rsid w:val="00942AD0"/>
    <w:rsid w:val="00953014"/>
    <w:rsid w:val="00953468"/>
    <w:rsid w:val="00974F74"/>
    <w:rsid w:val="00975EB6"/>
    <w:rsid w:val="00983310"/>
    <w:rsid w:val="009864C7"/>
    <w:rsid w:val="00986767"/>
    <w:rsid w:val="009A031C"/>
    <w:rsid w:val="009A2195"/>
    <w:rsid w:val="009A59D4"/>
    <w:rsid w:val="009B2952"/>
    <w:rsid w:val="009B3174"/>
    <w:rsid w:val="009B41F9"/>
    <w:rsid w:val="009C09E7"/>
    <w:rsid w:val="009C0DC1"/>
    <w:rsid w:val="009C23B9"/>
    <w:rsid w:val="009C2B41"/>
    <w:rsid w:val="009C2B77"/>
    <w:rsid w:val="009C5A8D"/>
    <w:rsid w:val="009D04AA"/>
    <w:rsid w:val="009E2244"/>
    <w:rsid w:val="009E44E5"/>
    <w:rsid w:val="009E58FB"/>
    <w:rsid w:val="009F0BAE"/>
    <w:rsid w:val="00A0117B"/>
    <w:rsid w:val="00A03AC8"/>
    <w:rsid w:val="00A03EF4"/>
    <w:rsid w:val="00A0730B"/>
    <w:rsid w:val="00A10BB6"/>
    <w:rsid w:val="00A16CE8"/>
    <w:rsid w:val="00A17848"/>
    <w:rsid w:val="00A23323"/>
    <w:rsid w:val="00A316F3"/>
    <w:rsid w:val="00A37954"/>
    <w:rsid w:val="00A40EAE"/>
    <w:rsid w:val="00A41A04"/>
    <w:rsid w:val="00A44FE2"/>
    <w:rsid w:val="00A4679E"/>
    <w:rsid w:val="00A50459"/>
    <w:rsid w:val="00A51492"/>
    <w:rsid w:val="00A51B6A"/>
    <w:rsid w:val="00A62C29"/>
    <w:rsid w:val="00A6567E"/>
    <w:rsid w:val="00A82ABB"/>
    <w:rsid w:val="00A90DB0"/>
    <w:rsid w:val="00A91C47"/>
    <w:rsid w:val="00A93CE0"/>
    <w:rsid w:val="00A95784"/>
    <w:rsid w:val="00A960BB"/>
    <w:rsid w:val="00AA47D2"/>
    <w:rsid w:val="00AA58F8"/>
    <w:rsid w:val="00AB14FA"/>
    <w:rsid w:val="00AB6369"/>
    <w:rsid w:val="00AC3DED"/>
    <w:rsid w:val="00AC4FB4"/>
    <w:rsid w:val="00AC6AFB"/>
    <w:rsid w:val="00AD0D67"/>
    <w:rsid w:val="00AD33E7"/>
    <w:rsid w:val="00AD346D"/>
    <w:rsid w:val="00AE5B76"/>
    <w:rsid w:val="00B01739"/>
    <w:rsid w:val="00B10506"/>
    <w:rsid w:val="00B14CF5"/>
    <w:rsid w:val="00B14F26"/>
    <w:rsid w:val="00B15125"/>
    <w:rsid w:val="00B15861"/>
    <w:rsid w:val="00B16278"/>
    <w:rsid w:val="00B16A14"/>
    <w:rsid w:val="00B21AC4"/>
    <w:rsid w:val="00B22398"/>
    <w:rsid w:val="00B22E70"/>
    <w:rsid w:val="00B245D6"/>
    <w:rsid w:val="00B3058A"/>
    <w:rsid w:val="00B33359"/>
    <w:rsid w:val="00B344F1"/>
    <w:rsid w:val="00B46E01"/>
    <w:rsid w:val="00B4726F"/>
    <w:rsid w:val="00B5661D"/>
    <w:rsid w:val="00B5705C"/>
    <w:rsid w:val="00B601EF"/>
    <w:rsid w:val="00B603B3"/>
    <w:rsid w:val="00B60B4D"/>
    <w:rsid w:val="00B82011"/>
    <w:rsid w:val="00B878AA"/>
    <w:rsid w:val="00B90500"/>
    <w:rsid w:val="00B9054E"/>
    <w:rsid w:val="00B95CCD"/>
    <w:rsid w:val="00B96403"/>
    <w:rsid w:val="00B96B37"/>
    <w:rsid w:val="00B977AB"/>
    <w:rsid w:val="00BB49B6"/>
    <w:rsid w:val="00BB5296"/>
    <w:rsid w:val="00BD1359"/>
    <w:rsid w:val="00BD49E3"/>
    <w:rsid w:val="00BE3345"/>
    <w:rsid w:val="00BE6B6F"/>
    <w:rsid w:val="00BF19EE"/>
    <w:rsid w:val="00BF6C3B"/>
    <w:rsid w:val="00BF71D1"/>
    <w:rsid w:val="00C03153"/>
    <w:rsid w:val="00C12E1A"/>
    <w:rsid w:val="00C24F2A"/>
    <w:rsid w:val="00C6039C"/>
    <w:rsid w:val="00C66F65"/>
    <w:rsid w:val="00C801B4"/>
    <w:rsid w:val="00C82C22"/>
    <w:rsid w:val="00C83E7F"/>
    <w:rsid w:val="00C91804"/>
    <w:rsid w:val="00CA6D8B"/>
    <w:rsid w:val="00CB41AE"/>
    <w:rsid w:val="00CB42D5"/>
    <w:rsid w:val="00CB63F3"/>
    <w:rsid w:val="00CC0D7F"/>
    <w:rsid w:val="00CC6637"/>
    <w:rsid w:val="00CD309A"/>
    <w:rsid w:val="00CE00BF"/>
    <w:rsid w:val="00CE0A7F"/>
    <w:rsid w:val="00CF11CD"/>
    <w:rsid w:val="00CF559A"/>
    <w:rsid w:val="00CF7395"/>
    <w:rsid w:val="00D01EB7"/>
    <w:rsid w:val="00D07D6C"/>
    <w:rsid w:val="00D125C5"/>
    <w:rsid w:val="00D227E9"/>
    <w:rsid w:val="00D23A5E"/>
    <w:rsid w:val="00D33E46"/>
    <w:rsid w:val="00D444A5"/>
    <w:rsid w:val="00D54B29"/>
    <w:rsid w:val="00D54DF6"/>
    <w:rsid w:val="00D5678D"/>
    <w:rsid w:val="00D57DD2"/>
    <w:rsid w:val="00D57E9A"/>
    <w:rsid w:val="00D66A02"/>
    <w:rsid w:val="00D730C5"/>
    <w:rsid w:val="00DA21BD"/>
    <w:rsid w:val="00DC773E"/>
    <w:rsid w:val="00DD21D1"/>
    <w:rsid w:val="00DE1B19"/>
    <w:rsid w:val="00DE4703"/>
    <w:rsid w:val="00DE51C8"/>
    <w:rsid w:val="00DF034B"/>
    <w:rsid w:val="00E01E45"/>
    <w:rsid w:val="00E025A2"/>
    <w:rsid w:val="00E0696B"/>
    <w:rsid w:val="00E10F96"/>
    <w:rsid w:val="00E1288E"/>
    <w:rsid w:val="00E1702E"/>
    <w:rsid w:val="00E175C8"/>
    <w:rsid w:val="00E21BAA"/>
    <w:rsid w:val="00E366F2"/>
    <w:rsid w:val="00E441F3"/>
    <w:rsid w:val="00E44C4A"/>
    <w:rsid w:val="00E64D23"/>
    <w:rsid w:val="00E90005"/>
    <w:rsid w:val="00EB07CB"/>
    <w:rsid w:val="00EB7965"/>
    <w:rsid w:val="00EC2269"/>
    <w:rsid w:val="00EC4B80"/>
    <w:rsid w:val="00ED17F4"/>
    <w:rsid w:val="00ED7525"/>
    <w:rsid w:val="00ED7B77"/>
    <w:rsid w:val="00EE0CC2"/>
    <w:rsid w:val="00EF433A"/>
    <w:rsid w:val="00EF5BA4"/>
    <w:rsid w:val="00F04720"/>
    <w:rsid w:val="00F0617B"/>
    <w:rsid w:val="00F07B55"/>
    <w:rsid w:val="00F12716"/>
    <w:rsid w:val="00F16CD7"/>
    <w:rsid w:val="00F3328D"/>
    <w:rsid w:val="00F473D5"/>
    <w:rsid w:val="00F548C2"/>
    <w:rsid w:val="00F56565"/>
    <w:rsid w:val="00F7360D"/>
    <w:rsid w:val="00F752B1"/>
    <w:rsid w:val="00F8224E"/>
    <w:rsid w:val="00F90A36"/>
    <w:rsid w:val="00F92476"/>
    <w:rsid w:val="00F97729"/>
    <w:rsid w:val="00FA65F2"/>
    <w:rsid w:val="00FB629F"/>
    <w:rsid w:val="00FC424B"/>
    <w:rsid w:val="00FD13CC"/>
    <w:rsid w:val="00FD64B9"/>
    <w:rsid w:val="00FF3E4E"/>
    <w:rsid w:val="00FF420B"/>
    <w:rsid w:val="00FF42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5CCD69-EF2A-4524-8DFE-AEBC6879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739"/>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F3328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185DE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01739"/>
    <w:rPr>
      <w:color w:val="0563C1"/>
      <w:u w:val="single"/>
    </w:rPr>
  </w:style>
  <w:style w:type="paragraph" w:styleId="NormalWeb">
    <w:name w:val="Normal (Web)"/>
    <w:basedOn w:val="Normal"/>
    <w:uiPriority w:val="99"/>
    <w:semiHidden/>
    <w:unhideWhenUsed/>
    <w:rsid w:val="00B01739"/>
  </w:style>
  <w:style w:type="paragraph" w:styleId="ListParagraph">
    <w:name w:val="List Paragraph"/>
    <w:basedOn w:val="Normal"/>
    <w:uiPriority w:val="34"/>
    <w:qFormat/>
    <w:rsid w:val="00B01739"/>
    <w:pPr>
      <w:ind w:left="720"/>
    </w:pPr>
  </w:style>
  <w:style w:type="paragraph" w:customStyle="1" w:styleId="Default">
    <w:name w:val="Default"/>
    <w:uiPriority w:val="99"/>
    <w:rsid w:val="00562EE1"/>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F3328D"/>
    <w:rPr>
      <w:rFonts w:asciiTheme="majorHAnsi" w:eastAsiaTheme="majorEastAsia" w:hAnsiTheme="majorHAnsi" w:cstheme="majorBidi"/>
      <w:b/>
      <w:bCs/>
      <w:color w:val="345A8A" w:themeColor="accent1" w:themeShade="B5"/>
      <w:sz w:val="32"/>
      <w:szCs w:val="32"/>
    </w:rPr>
  </w:style>
  <w:style w:type="paragraph" w:styleId="NoSpacing">
    <w:name w:val="No Spacing"/>
    <w:uiPriority w:val="1"/>
    <w:qFormat/>
    <w:rsid w:val="00F3328D"/>
    <w:pPr>
      <w:spacing w:after="0" w:line="240" w:lineRule="auto"/>
    </w:pPr>
  </w:style>
  <w:style w:type="character" w:styleId="FollowedHyperlink">
    <w:name w:val="FollowedHyperlink"/>
    <w:basedOn w:val="DefaultParagraphFont"/>
    <w:uiPriority w:val="99"/>
    <w:semiHidden/>
    <w:unhideWhenUsed/>
    <w:rsid w:val="006366B6"/>
    <w:rPr>
      <w:color w:val="800080" w:themeColor="followedHyperlink"/>
      <w:u w:val="single"/>
    </w:rPr>
  </w:style>
  <w:style w:type="character" w:customStyle="1" w:styleId="Heading2Char">
    <w:name w:val="Heading 2 Char"/>
    <w:basedOn w:val="DefaultParagraphFont"/>
    <w:link w:val="Heading2"/>
    <w:uiPriority w:val="9"/>
    <w:rsid w:val="00185DEB"/>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39"/>
    <w:rsid w:val="009B3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6836BA"/>
    <w:rPr>
      <w:sz w:val="22"/>
      <w:szCs w:val="22"/>
      <w:lang w:eastAsia="x-none"/>
    </w:rPr>
  </w:style>
  <w:style w:type="character" w:customStyle="1" w:styleId="BodyText2Char">
    <w:name w:val="Body Text 2 Char"/>
    <w:basedOn w:val="DefaultParagraphFont"/>
    <w:link w:val="BodyText2"/>
    <w:uiPriority w:val="99"/>
    <w:semiHidden/>
    <w:rsid w:val="006836BA"/>
    <w:rPr>
      <w:rFonts w:ascii="Times New Roman" w:hAnsi="Times New Roman" w:cs="Times New Roman"/>
      <w:lang w:eastAsia="x-none"/>
    </w:rPr>
  </w:style>
  <w:style w:type="table" w:customStyle="1" w:styleId="TableGrid1">
    <w:name w:val="Table Grid1"/>
    <w:basedOn w:val="TableNormal"/>
    <w:next w:val="TableGrid"/>
    <w:uiPriority w:val="39"/>
    <w:rsid w:val="009E58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DTextBulletList">
    <w:name w:val="BD Text Bullet List"/>
    <w:basedOn w:val="Normal"/>
    <w:qFormat/>
    <w:rsid w:val="005F4D69"/>
    <w:pPr>
      <w:numPr>
        <w:numId w:val="2"/>
      </w:numPr>
      <w:spacing w:after="120"/>
      <w:contextualSpacing/>
    </w:pPr>
    <w:rPr>
      <w:rFonts w:eastAsia="Calibri"/>
      <w:sz w:val="22"/>
      <w:szCs w:val="22"/>
    </w:rPr>
  </w:style>
  <w:style w:type="paragraph" w:styleId="EndnoteText">
    <w:name w:val="endnote text"/>
    <w:basedOn w:val="Normal"/>
    <w:link w:val="EndnoteTextChar"/>
    <w:uiPriority w:val="99"/>
    <w:unhideWhenUsed/>
    <w:rsid w:val="00D125C5"/>
    <w:pPr>
      <w:spacing w:after="120"/>
    </w:pPr>
    <w:rPr>
      <w:rFonts w:eastAsia="Calibri"/>
      <w:sz w:val="20"/>
      <w:szCs w:val="20"/>
    </w:rPr>
  </w:style>
  <w:style w:type="character" w:customStyle="1" w:styleId="EndnoteTextChar">
    <w:name w:val="Endnote Text Char"/>
    <w:basedOn w:val="DefaultParagraphFont"/>
    <w:link w:val="EndnoteText"/>
    <w:uiPriority w:val="99"/>
    <w:rsid w:val="00D125C5"/>
    <w:rPr>
      <w:rFonts w:ascii="Times New Roman" w:eastAsia="Calibri" w:hAnsi="Times New Roman" w:cs="Times New Roman"/>
      <w:sz w:val="20"/>
      <w:szCs w:val="20"/>
    </w:rPr>
  </w:style>
  <w:style w:type="character" w:styleId="EndnoteReference">
    <w:name w:val="endnote reference"/>
    <w:uiPriority w:val="99"/>
    <w:semiHidden/>
    <w:unhideWhenUsed/>
    <w:rsid w:val="00D125C5"/>
    <w:rPr>
      <w:vertAlign w:val="superscript"/>
    </w:rPr>
  </w:style>
  <w:style w:type="paragraph" w:styleId="BalloonText">
    <w:name w:val="Balloon Text"/>
    <w:basedOn w:val="Normal"/>
    <w:link w:val="BalloonTextChar"/>
    <w:uiPriority w:val="99"/>
    <w:semiHidden/>
    <w:unhideWhenUsed/>
    <w:rsid w:val="00804D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4D6D"/>
    <w:rPr>
      <w:rFonts w:ascii="Segoe UI" w:hAnsi="Segoe UI" w:cs="Segoe UI"/>
      <w:sz w:val="18"/>
      <w:szCs w:val="18"/>
    </w:rPr>
  </w:style>
  <w:style w:type="paragraph" w:styleId="FootnoteText">
    <w:name w:val="footnote text"/>
    <w:basedOn w:val="Normal"/>
    <w:link w:val="FootnoteTextChar"/>
    <w:uiPriority w:val="99"/>
    <w:semiHidden/>
    <w:rsid w:val="00BD1359"/>
    <w:pPr>
      <w:spacing w:after="120"/>
    </w:pPr>
    <w:rPr>
      <w:rFonts w:eastAsia="Times New Roman"/>
      <w:sz w:val="20"/>
      <w:szCs w:val="20"/>
    </w:rPr>
  </w:style>
  <w:style w:type="character" w:customStyle="1" w:styleId="FootnoteTextChar">
    <w:name w:val="Footnote Text Char"/>
    <w:basedOn w:val="DefaultParagraphFont"/>
    <w:link w:val="FootnoteText"/>
    <w:uiPriority w:val="99"/>
    <w:semiHidden/>
    <w:rsid w:val="00BD1359"/>
    <w:rPr>
      <w:rFonts w:ascii="Times New Roman" w:eastAsia="Times New Roman" w:hAnsi="Times New Roman" w:cs="Times New Roman"/>
      <w:sz w:val="20"/>
      <w:szCs w:val="20"/>
    </w:rPr>
  </w:style>
  <w:style w:type="character" w:styleId="FootnoteReference">
    <w:name w:val="footnote reference"/>
    <w:uiPriority w:val="99"/>
    <w:semiHidden/>
    <w:rsid w:val="00BD1359"/>
    <w:rPr>
      <w:vertAlign w:val="superscript"/>
    </w:rPr>
  </w:style>
  <w:style w:type="paragraph" w:styleId="Header">
    <w:name w:val="header"/>
    <w:basedOn w:val="Normal"/>
    <w:link w:val="HeaderChar"/>
    <w:uiPriority w:val="99"/>
    <w:unhideWhenUsed/>
    <w:rsid w:val="00610BF1"/>
    <w:pPr>
      <w:tabs>
        <w:tab w:val="center" w:pos="4680"/>
        <w:tab w:val="right" w:pos="9360"/>
      </w:tabs>
    </w:pPr>
  </w:style>
  <w:style w:type="character" w:customStyle="1" w:styleId="HeaderChar">
    <w:name w:val="Header Char"/>
    <w:basedOn w:val="DefaultParagraphFont"/>
    <w:link w:val="Header"/>
    <w:uiPriority w:val="99"/>
    <w:rsid w:val="00610BF1"/>
    <w:rPr>
      <w:rFonts w:ascii="Times New Roman" w:hAnsi="Times New Roman" w:cs="Times New Roman"/>
      <w:sz w:val="24"/>
      <w:szCs w:val="24"/>
    </w:rPr>
  </w:style>
  <w:style w:type="paragraph" w:styleId="Footer">
    <w:name w:val="footer"/>
    <w:basedOn w:val="Normal"/>
    <w:link w:val="FooterChar"/>
    <w:uiPriority w:val="99"/>
    <w:unhideWhenUsed/>
    <w:rsid w:val="00610BF1"/>
    <w:pPr>
      <w:tabs>
        <w:tab w:val="center" w:pos="4680"/>
        <w:tab w:val="right" w:pos="9360"/>
      </w:tabs>
    </w:pPr>
  </w:style>
  <w:style w:type="character" w:customStyle="1" w:styleId="FooterChar">
    <w:name w:val="Footer Char"/>
    <w:basedOn w:val="DefaultParagraphFont"/>
    <w:link w:val="Footer"/>
    <w:uiPriority w:val="99"/>
    <w:rsid w:val="00610BF1"/>
    <w:rPr>
      <w:rFonts w:ascii="Times New Roman" w:hAnsi="Times New Roman" w:cs="Times New Roman"/>
      <w:sz w:val="24"/>
      <w:szCs w:val="24"/>
    </w:rPr>
  </w:style>
  <w:style w:type="paragraph" w:styleId="PlainText">
    <w:name w:val="Plain Text"/>
    <w:basedOn w:val="Normal"/>
    <w:link w:val="PlainTextChar"/>
    <w:uiPriority w:val="99"/>
    <w:semiHidden/>
    <w:unhideWhenUsed/>
    <w:rsid w:val="001075D0"/>
    <w:rPr>
      <w:rFonts w:ascii="Calibri" w:hAnsi="Calibri" w:cstheme="minorBidi"/>
      <w:sz w:val="22"/>
      <w:szCs w:val="21"/>
    </w:rPr>
  </w:style>
  <w:style w:type="character" w:customStyle="1" w:styleId="PlainTextChar">
    <w:name w:val="Plain Text Char"/>
    <w:basedOn w:val="DefaultParagraphFont"/>
    <w:link w:val="PlainText"/>
    <w:uiPriority w:val="99"/>
    <w:semiHidden/>
    <w:rsid w:val="001075D0"/>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0564">
      <w:bodyDiv w:val="1"/>
      <w:marLeft w:val="0"/>
      <w:marRight w:val="0"/>
      <w:marTop w:val="0"/>
      <w:marBottom w:val="0"/>
      <w:divBdr>
        <w:top w:val="none" w:sz="0" w:space="0" w:color="auto"/>
        <w:left w:val="none" w:sz="0" w:space="0" w:color="auto"/>
        <w:bottom w:val="none" w:sz="0" w:space="0" w:color="auto"/>
        <w:right w:val="none" w:sz="0" w:space="0" w:color="auto"/>
      </w:divBdr>
    </w:div>
    <w:div w:id="123737271">
      <w:bodyDiv w:val="1"/>
      <w:marLeft w:val="0"/>
      <w:marRight w:val="0"/>
      <w:marTop w:val="0"/>
      <w:marBottom w:val="0"/>
      <w:divBdr>
        <w:top w:val="none" w:sz="0" w:space="0" w:color="auto"/>
        <w:left w:val="none" w:sz="0" w:space="0" w:color="auto"/>
        <w:bottom w:val="none" w:sz="0" w:space="0" w:color="auto"/>
        <w:right w:val="none" w:sz="0" w:space="0" w:color="auto"/>
      </w:divBdr>
    </w:div>
    <w:div w:id="133451822">
      <w:bodyDiv w:val="1"/>
      <w:marLeft w:val="0"/>
      <w:marRight w:val="0"/>
      <w:marTop w:val="0"/>
      <w:marBottom w:val="0"/>
      <w:divBdr>
        <w:top w:val="none" w:sz="0" w:space="0" w:color="auto"/>
        <w:left w:val="none" w:sz="0" w:space="0" w:color="auto"/>
        <w:bottom w:val="none" w:sz="0" w:space="0" w:color="auto"/>
        <w:right w:val="none" w:sz="0" w:space="0" w:color="auto"/>
      </w:divBdr>
    </w:div>
    <w:div w:id="137386466">
      <w:bodyDiv w:val="1"/>
      <w:marLeft w:val="0"/>
      <w:marRight w:val="0"/>
      <w:marTop w:val="0"/>
      <w:marBottom w:val="0"/>
      <w:divBdr>
        <w:top w:val="none" w:sz="0" w:space="0" w:color="auto"/>
        <w:left w:val="none" w:sz="0" w:space="0" w:color="auto"/>
        <w:bottom w:val="none" w:sz="0" w:space="0" w:color="auto"/>
        <w:right w:val="none" w:sz="0" w:space="0" w:color="auto"/>
      </w:divBdr>
    </w:div>
    <w:div w:id="205531764">
      <w:bodyDiv w:val="1"/>
      <w:marLeft w:val="0"/>
      <w:marRight w:val="0"/>
      <w:marTop w:val="0"/>
      <w:marBottom w:val="0"/>
      <w:divBdr>
        <w:top w:val="none" w:sz="0" w:space="0" w:color="auto"/>
        <w:left w:val="none" w:sz="0" w:space="0" w:color="auto"/>
        <w:bottom w:val="none" w:sz="0" w:space="0" w:color="auto"/>
        <w:right w:val="none" w:sz="0" w:space="0" w:color="auto"/>
      </w:divBdr>
    </w:div>
    <w:div w:id="298918998">
      <w:bodyDiv w:val="1"/>
      <w:marLeft w:val="0"/>
      <w:marRight w:val="0"/>
      <w:marTop w:val="0"/>
      <w:marBottom w:val="0"/>
      <w:divBdr>
        <w:top w:val="none" w:sz="0" w:space="0" w:color="auto"/>
        <w:left w:val="none" w:sz="0" w:space="0" w:color="auto"/>
        <w:bottom w:val="none" w:sz="0" w:space="0" w:color="auto"/>
        <w:right w:val="none" w:sz="0" w:space="0" w:color="auto"/>
      </w:divBdr>
    </w:div>
    <w:div w:id="309019665">
      <w:bodyDiv w:val="1"/>
      <w:marLeft w:val="0"/>
      <w:marRight w:val="0"/>
      <w:marTop w:val="0"/>
      <w:marBottom w:val="0"/>
      <w:divBdr>
        <w:top w:val="none" w:sz="0" w:space="0" w:color="auto"/>
        <w:left w:val="none" w:sz="0" w:space="0" w:color="auto"/>
        <w:bottom w:val="none" w:sz="0" w:space="0" w:color="auto"/>
        <w:right w:val="none" w:sz="0" w:space="0" w:color="auto"/>
      </w:divBdr>
    </w:div>
    <w:div w:id="378364840">
      <w:bodyDiv w:val="1"/>
      <w:marLeft w:val="0"/>
      <w:marRight w:val="0"/>
      <w:marTop w:val="0"/>
      <w:marBottom w:val="0"/>
      <w:divBdr>
        <w:top w:val="none" w:sz="0" w:space="0" w:color="auto"/>
        <w:left w:val="none" w:sz="0" w:space="0" w:color="auto"/>
        <w:bottom w:val="none" w:sz="0" w:space="0" w:color="auto"/>
        <w:right w:val="none" w:sz="0" w:space="0" w:color="auto"/>
      </w:divBdr>
    </w:div>
    <w:div w:id="433481409">
      <w:bodyDiv w:val="1"/>
      <w:marLeft w:val="0"/>
      <w:marRight w:val="0"/>
      <w:marTop w:val="0"/>
      <w:marBottom w:val="0"/>
      <w:divBdr>
        <w:top w:val="none" w:sz="0" w:space="0" w:color="auto"/>
        <w:left w:val="none" w:sz="0" w:space="0" w:color="auto"/>
        <w:bottom w:val="none" w:sz="0" w:space="0" w:color="auto"/>
        <w:right w:val="none" w:sz="0" w:space="0" w:color="auto"/>
      </w:divBdr>
    </w:div>
    <w:div w:id="543758967">
      <w:bodyDiv w:val="1"/>
      <w:marLeft w:val="0"/>
      <w:marRight w:val="0"/>
      <w:marTop w:val="0"/>
      <w:marBottom w:val="0"/>
      <w:divBdr>
        <w:top w:val="none" w:sz="0" w:space="0" w:color="auto"/>
        <w:left w:val="none" w:sz="0" w:space="0" w:color="auto"/>
        <w:bottom w:val="none" w:sz="0" w:space="0" w:color="auto"/>
        <w:right w:val="none" w:sz="0" w:space="0" w:color="auto"/>
      </w:divBdr>
    </w:div>
    <w:div w:id="556816824">
      <w:bodyDiv w:val="1"/>
      <w:marLeft w:val="0"/>
      <w:marRight w:val="0"/>
      <w:marTop w:val="0"/>
      <w:marBottom w:val="0"/>
      <w:divBdr>
        <w:top w:val="none" w:sz="0" w:space="0" w:color="auto"/>
        <w:left w:val="none" w:sz="0" w:space="0" w:color="auto"/>
        <w:bottom w:val="none" w:sz="0" w:space="0" w:color="auto"/>
        <w:right w:val="none" w:sz="0" w:space="0" w:color="auto"/>
      </w:divBdr>
    </w:div>
    <w:div w:id="648675366">
      <w:bodyDiv w:val="1"/>
      <w:marLeft w:val="0"/>
      <w:marRight w:val="0"/>
      <w:marTop w:val="0"/>
      <w:marBottom w:val="0"/>
      <w:divBdr>
        <w:top w:val="none" w:sz="0" w:space="0" w:color="auto"/>
        <w:left w:val="none" w:sz="0" w:space="0" w:color="auto"/>
        <w:bottom w:val="none" w:sz="0" w:space="0" w:color="auto"/>
        <w:right w:val="none" w:sz="0" w:space="0" w:color="auto"/>
      </w:divBdr>
    </w:div>
    <w:div w:id="688605521">
      <w:bodyDiv w:val="1"/>
      <w:marLeft w:val="0"/>
      <w:marRight w:val="0"/>
      <w:marTop w:val="0"/>
      <w:marBottom w:val="0"/>
      <w:divBdr>
        <w:top w:val="none" w:sz="0" w:space="0" w:color="auto"/>
        <w:left w:val="none" w:sz="0" w:space="0" w:color="auto"/>
        <w:bottom w:val="none" w:sz="0" w:space="0" w:color="auto"/>
        <w:right w:val="none" w:sz="0" w:space="0" w:color="auto"/>
      </w:divBdr>
    </w:div>
    <w:div w:id="724839140">
      <w:bodyDiv w:val="1"/>
      <w:marLeft w:val="0"/>
      <w:marRight w:val="0"/>
      <w:marTop w:val="0"/>
      <w:marBottom w:val="0"/>
      <w:divBdr>
        <w:top w:val="none" w:sz="0" w:space="0" w:color="auto"/>
        <w:left w:val="none" w:sz="0" w:space="0" w:color="auto"/>
        <w:bottom w:val="none" w:sz="0" w:space="0" w:color="auto"/>
        <w:right w:val="none" w:sz="0" w:space="0" w:color="auto"/>
      </w:divBdr>
    </w:div>
    <w:div w:id="757098737">
      <w:bodyDiv w:val="1"/>
      <w:marLeft w:val="0"/>
      <w:marRight w:val="0"/>
      <w:marTop w:val="0"/>
      <w:marBottom w:val="0"/>
      <w:divBdr>
        <w:top w:val="none" w:sz="0" w:space="0" w:color="auto"/>
        <w:left w:val="none" w:sz="0" w:space="0" w:color="auto"/>
        <w:bottom w:val="none" w:sz="0" w:space="0" w:color="auto"/>
        <w:right w:val="none" w:sz="0" w:space="0" w:color="auto"/>
      </w:divBdr>
    </w:div>
    <w:div w:id="886071086">
      <w:bodyDiv w:val="1"/>
      <w:marLeft w:val="0"/>
      <w:marRight w:val="0"/>
      <w:marTop w:val="0"/>
      <w:marBottom w:val="0"/>
      <w:divBdr>
        <w:top w:val="none" w:sz="0" w:space="0" w:color="auto"/>
        <w:left w:val="none" w:sz="0" w:space="0" w:color="auto"/>
        <w:bottom w:val="none" w:sz="0" w:space="0" w:color="auto"/>
        <w:right w:val="none" w:sz="0" w:space="0" w:color="auto"/>
      </w:divBdr>
    </w:div>
    <w:div w:id="911620498">
      <w:bodyDiv w:val="1"/>
      <w:marLeft w:val="0"/>
      <w:marRight w:val="0"/>
      <w:marTop w:val="0"/>
      <w:marBottom w:val="0"/>
      <w:divBdr>
        <w:top w:val="none" w:sz="0" w:space="0" w:color="auto"/>
        <w:left w:val="none" w:sz="0" w:space="0" w:color="auto"/>
        <w:bottom w:val="none" w:sz="0" w:space="0" w:color="auto"/>
        <w:right w:val="none" w:sz="0" w:space="0" w:color="auto"/>
      </w:divBdr>
    </w:div>
    <w:div w:id="914163172">
      <w:bodyDiv w:val="1"/>
      <w:marLeft w:val="0"/>
      <w:marRight w:val="0"/>
      <w:marTop w:val="0"/>
      <w:marBottom w:val="0"/>
      <w:divBdr>
        <w:top w:val="none" w:sz="0" w:space="0" w:color="auto"/>
        <w:left w:val="none" w:sz="0" w:space="0" w:color="auto"/>
        <w:bottom w:val="none" w:sz="0" w:space="0" w:color="auto"/>
        <w:right w:val="none" w:sz="0" w:space="0" w:color="auto"/>
      </w:divBdr>
    </w:div>
    <w:div w:id="997272147">
      <w:bodyDiv w:val="1"/>
      <w:marLeft w:val="0"/>
      <w:marRight w:val="0"/>
      <w:marTop w:val="0"/>
      <w:marBottom w:val="0"/>
      <w:divBdr>
        <w:top w:val="none" w:sz="0" w:space="0" w:color="auto"/>
        <w:left w:val="none" w:sz="0" w:space="0" w:color="auto"/>
        <w:bottom w:val="none" w:sz="0" w:space="0" w:color="auto"/>
        <w:right w:val="none" w:sz="0" w:space="0" w:color="auto"/>
      </w:divBdr>
    </w:div>
    <w:div w:id="1034037756">
      <w:bodyDiv w:val="1"/>
      <w:marLeft w:val="0"/>
      <w:marRight w:val="0"/>
      <w:marTop w:val="0"/>
      <w:marBottom w:val="0"/>
      <w:divBdr>
        <w:top w:val="none" w:sz="0" w:space="0" w:color="auto"/>
        <w:left w:val="none" w:sz="0" w:space="0" w:color="auto"/>
        <w:bottom w:val="none" w:sz="0" w:space="0" w:color="auto"/>
        <w:right w:val="none" w:sz="0" w:space="0" w:color="auto"/>
      </w:divBdr>
    </w:div>
    <w:div w:id="1059210902">
      <w:bodyDiv w:val="1"/>
      <w:marLeft w:val="0"/>
      <w:marRight w:val="0"/>
      <w:marTop w:val="0"/>
      <w:marBottom w:val="0"/>
      <w:divBdr>
        <w:top w:val="none" w:sz="0" w:space="0" w:color="auto"/>
        <w:left w:val="none" w:sz="0" w:space="0" w:color="auto"/>
        <w:bottom w:val="none" w:sz="0" w:space="0" w:color="auto"/>
        <w:right w:val="none" w:sz="0" w:space="0" w:color="auto"/>
      </w:divBdr>
    </w:div>
    <w:div w:id="1087380012">
      <w:bodyDiv w:val="1"/>
      <w:marLeft w:val="0"/>
      <w:marRight w:val="0"/>
      <w:marTop w:val="0"/>
      <w:marBottom w:val="0"/>
      <w:divBdr>
        <w:top w:val="none" w:sz="0" w:space="0" w:color="auto"/>
        <w:left w:val="none" w:sz="0" w:space="0" w:color="auto"/>
        <w:bottom w:val="none" w:sz="0" w:space="0" w:color="auto"/>
        <w:right w:val="none" w:sz="0" w:space="0" w:color="auto"/>
      </w:divBdr>
    </w:div>
    <w:div w:id="1095830153">
      <w:bodyDiv w:val="1"/>
      <w:marLeft w:val="0"/>
      <w:marRight w:val="0"/>
      <w:marTop w:val="0"/>
      <w:marBottom w:val="0"/>
      <w:divBdr>
        <w:top w:val="none" w:sz="0" w:space="0" w:color="auto"/>
        <w:left w:val="none" w:sz="0" w:space="0" w:color="auto"/>
        <w:bottom w:val="none" w:sz="0" w:space="0" w:color="auto"/>
        <w:right w:val="none" w:sz="0" w:space="0" w:color="auto"/>
      </w:divBdr>
    </w:div>
    <w:div w:id="1181629567">
      <w:bodyDiv w:val="1"/>
      <w:marLeft w:val="0"/>
      <w:marRight w:val="0"/>
      <w:marTop w:val="0"/>
      <w:marBottom w:val="0"/>
      <w:divBdr>
        <w:top w:val="none" w:sz="0" w:space="0" w:color="auto"/>
        <w:left w:val="none" w:sz="0" w:space="0" w:color="auto"/>
        <w:bottom w:val="none" w:sz="0" w:space="0" w:color="auto"/>
        <w:right w:val="none" w:sz="0" w:space="0" w:color="auto"/>
      </w:divBdr>
    </w:div>
    <w:div w:id="1331904996">
      <w:bodyDiv w:val="1"/>
      <w:marLeft w:val="0"/>
      <w:marRight w:val="0"/>
      <w:marTop w:val="0"/>
      <w:marBottom w:val="0"/>
      <w:divBdr>
        <w:top w:val="none" w:sz="0" w:space="0" w:color="auto"/>
        <w:left w:val="none" w:sz="0" w:space="0" w:color="auto"/>
        <w:bottom w:val="none" w:sz="0" w:space="0" w:color="auto"/>
        <w:right w:val="none" w:sz="0" w:space="0" w:color="auto"/>
      </w:divBdr>
    </w:div>
    <w:div w:id="1369719753">
      <w:bodyDiv w:val="1"/>
      <w:marLeft w:val="0"/>
      <w:marRight w:val="0"/>
      <w:marTop w:val="0"/>
      <w:marBottom w:val="0"/>
      <w:divBdr>
        <w:top w:val="none" w:sz="0" w:space="0" w:color="auto"/>
        <w:left w:val="none" w:sz="0" w:space="0" w:color="auto"/>
        <w:bottom w:val="none" w:sz="0" w:space="0" w:color="auto"/>
        <w:right w:val="none" w:sz="0" w:space="0" w:color="auto"/>
      </w:divBdr>
    </w:div>
    <w:div w:id="1384982601">
      <w:bodyDiv w:val="1"/>
      <w:marLeft w:val="0"/>
      <w:marRight w:val="0"/>
      <w:marTop w:val="0"/>
      <w:marBottom w:val="0"/>
      <w:divBdr>
        <w:top w:val="none" w:sz="0" w:space="0" w:color="auto"/>
        <w:left w:val="none" w:sz="0" w:space="0" w:color="auto"/>
        <w:bottom w:val="none" w:sz="0" w:space="0" w:color="auto"/>
        <w:right w:val="none" w:sz="0" w:space="0" w:color="auto"/>
      </w:divBdr>
    </w:div>
    <w:div w:id="1405682543">
      <w:bodyDiv w:val="1"/>
      <w:marLeft w:val="0"/>
      <w:marRight w:val="0"/>
      <w:marTop w:val="0"/>
      <w:marBottom w:val="0"/>
      <w:divBdr>
        <w:top w:val="none" w:sz="0" w:space="0" w:color="auto"/>
        <w:left w:val="none" w:sz="0" w:space="0" w:color="auto"/>
        <w:bottom w:val="none" w:sz="0" w:space="0" w:color="auto"/>
        <w:right w:val="none" w:sz="0" w:space="0" w:color="auto"/>
      </w:divBdr>
    </w:div>
    <w:div w:id="1496997054">
      <w:bodyDiv w:val="1"/>
      <w:marLeft w:val="0"/>
      <w:marRight w:val="0"/>
      <w:marTop w:val="0"/>
      <w:marBottom w:val="0"/>
      <w:divBdr>
        <w:top w:val="none" w:sz="0" w:space="0" w:color="auto"/>
        <w:left w:val="none" w:sz="0" w:space="0" w:color="auto"/>
        <w:bottom w:val="none" w:sz="0" w:space="0" w:color="auto"/>
        <w:right w:val="none" w:sz="0" w:space="0" w:color="auto"/>
      </w:divBdr>
    </w:div>
    <w:div w:id="1553348666">
      <w:bodyDiv w:val="1"/>
      <w:marLeft w:val="0"/>
      <w:marRight w:val="0"/>
      <w:marTop w:val="0"/>
      <w:marBottom w:val="0"/>
      <w:divBdr>
        <w:top w:val="none" w:sz="0" w:space="0" w:color="auto"/>
        <w:left w:val="none" w:sz="0" w:space="0" w:color="auto"/>
        <w:bottom w:val="none" w:sz="0" w:space="0" w:color="auto"/>
        <w:right w:val="none" w:sz="0" w:space="0" w:color="auto"/>
      </w:divBdr>
    </w:div>
    <w:div w:id="1558929972">
      <w:bodyDiv w:val="1"/>
      <w:marLeft w:val="0"/>
      <w:marRight w:val="0"/>
      <w:marTop w:val="0"/>
      <w:marBottom w:val="0"/>
      <w:divBdr>
        <w:top w:val="none" w:sz="0" w:space="0" w:color="auto"/>
        <w:left w:val="none" w:sz="0" w:space="0" w:color="auto"/>
        <w:bottom w:val="none" w:sz="0" w:space="0" w:color="auto"/>
        <w:right w:val="none" w:sz="0" w:space="0" w:color="auto"/>
      </w:divBdr>
    </w:div>
    <w:div w:id="1602028746">
      <w:bodyDiv w:val="1"/>
      <w:marLeft w:val="0"/>
      <w:marRight w:val="0"/>
      <w:marTop w:val="0"/>
      <w:marBottom w:val="0"/>
      <w:divBdr>
        <w:top w:val="none" w:sz="0" w:space="0" w:color="auto"/>
        <w:left w:val="none" w:sz="0" w:space="0" w:color="auto"/>
        <w:bottom w:val="none" w:sz="0" w:space="0" w:color="auto"/>
        <w:right w:val="none" w:sz="0" w:space="0" w:color="auto"/>
      </w:divBdr>
    </w:div>
    <w:div w:id="1618945067">
      <w:bodyDiv w:val="1"/>
      <w:marLeft w:val="0"/>
      <w:marRight w:val="0"/>
      <w:marTop w:val="0"/>
      <w:marBottom w:val="0"/>
      <w:divBdr>
        <w:top w:val="none" w:sz="0" w:space="0" w:color="auto"/>
        <w:left w:val="none" w:sz="0" w:space="0" w:color="auto"/>
        <w:bottom w:val="none" w:sz="0" w:space="0" w:color="auto"/>
        <w:right w:val="none" w:sz="0" w:space="0" w:color="auto"/>
      </w:divBdr>
    </w:div>
    <w:div w:id="1641957908">
      <w:bodyDiv w:val="1"/>
      <w:marLeft w:val="0"/>
      <w:marRight w:val="0"/>
      <w:marTop w:val="0"/>
      <w:marBottom w:val="0"/>
      <w:divBdr>
        <w:top w:val="none" w:sz="0" w:space="0" w:color="auto"/>
        <w:left w:val="none" w:sz="0" w:space="0" w:color="auto"/>
        <w:bottom w:val="none" w:sz="0" w:space="0" w:color="auto"/>
        <w:right w:val="none" w:sz="0" w:space="0" w:color="auto"/>
      </w:divBdr>
    </w:div>
    <w:div w:id="1644390510">
      <w:bodyDiv w:val="1"/>
      <w:marLeft w:val="0"/>
      <w:marRight w:val="0"/>
      <w:marTop w:val="0"/>
      <w:marBottom w:val="0"/>
      <w:divBdr>
        <w:top w:val="none" w:sz="0" w:space="0" w:color="auto"/>
        <w:left w:val="none" w:sz="0" w:space="0" w:color="auto"/>
        <w:bottom w:val="none" w:sz="0" w:space="0" w:color="auto"/>
        <w:right w:val="none" w:sz="0" w:space="0" w:color="auto"/>
      </w:divBdr>
    </w:div>
    <w:div w:id="1703437925">
      <w:bodyDiv w:val="1"/>
      <w:marLeft w:val="0"/>
      <w:marRight w:val="0"/>
      <w:marTop w:val="0"/>
      <w:marBottom w:val="0"/>
      <w:divBdr>
        <w:top w:val="none" w:sz="0" w:space="0" w:color="auto"/>
        <w:left w:val="none" w:sz="0" w:space="0" w:color="auto"/>
        <w:bottom w:val="none" w:sz="0" w:space="0" w:color="auto"/>
        <w:right w:val="none" w:sz="0" w:space="0" w:color="auto"/>
      </w:divBdr>
    </w:div>
    <w:div w:id="1704283454">
      <w:bodyDiv w:val="1"/>
      <w:marLeft w:val="0"/>
      <w:marRight w:val="0"/>
      <w:marTop w:val="0"/>
      <w:marBottom w:val="0"/>
      <w:divBdr>
        <w:top w:val="none" w:sz="0" w:space="0" w:color="auto"/>
        <w:left w:val="none" w:sz="0" w:space="0" w:color="auto"/>
        <w:bottom w:val="none" w:sz="0" w:space="0" w:color="auto"/>
        <w:right w:val="none" w:sz="0" w:space="0" w:color="auto"/>
      </w:divBdr>
    </w:div>
    <w:div w:id="1722750214">
      <w:bodyDiv w:val="1"/>
      <w:marLeft w:val="0"/>
      <w:marRight w:val="0"/>
      <w:marTop w:val="0"/>
      <w:marBottom w:val="0"/>
      <w:divBdr>
        <w:top w:val="none" w:sz="0" w:space="0" w:color="auto"/>
        <w:left w:val="none" w:sz="0" w:space="0" w:color="auto"/>
        <w:bottom w:val="none" w:sz="0" w:space="0" w:color="auto"/>
        <w:right w:val="none" w:sz="0" w:space="0" w:color="auto"/>
      </w:divBdr>
    </w:div>
    <w:div w:id="1735657722">
      <w:bodyDiv w:val="1"/>
      <w:marLeft w:val="0"/>
      <w:marRight w:val="0"/>
      <w:marTop w:val="0"/>
      <w:marBottom w:val="0"/>
      <w:divBdr>
        <w:top w:val="none" w:sz="0" w:space="0" w:color="auto"/>
        <w:left w:val="none" w:sz="0" w:space="0" w:color="auto"/>
        <w:bottom w:val="none" w:sz="0" w:space="0" w:color="auto"/>
        <w:right w:val="none" w:sz="0" w:space="0" w:color="auto"/>
      </w:divBdr>
    </w:div>
    <w:div w:id="1897668264">
      <w:bodyDiv w:val="1"/>
      <w:marLeft w:val="0"/>
      <w:marRight w:val="0"/>
      <w:marTop w:val="0"/>
      <w:marBottom w:val="0"/>
      <w:divBdr>
        <w:top w:val="none" w:sz="0" w:space="0" w:color="auto"/>
        <w:left w:val="none" w:sz="0" w:space="0" w:color="auto"/>
        <w:bottom w:val="none" w:sz="0" w:space="0" w:color="auto"/>
        <w:right w:val="none" w:sz="0" w:space="0" w:color="auto"/>
      </w:divBdr>
    </w:div>
    <w:div w:id="1985697768">
      <w:bodyDiv w:val="1"/>
      <w:marLeft w:val="0"/>
      <w:marRight w:val="0"/>
      <w:marTop w:val="0"/>
      <w:marBottom w:val="0"/>
      <w:divBdr>
        <w:top w:val="none" w:sz="0" w:space="0" w:color="auto"/>
        <w:left w:val="none" w:sz="0" w:space="0" w:color="auto"/>
        <w:bottom w:val="none" w:sz="0" w:space="0" w:color="auto"/>
        <w:right w:val="none" w:sz="0" w:space="0" w:color="auto"/>
      </w:divBdr>
    </w:div>
    <w:div w:id="2043817997">
      <w:bodyDiv w:val="1"/>
      <w:marLeft w:val="0"/>
      <w:marRight w:val="0"/>
      <w:marTop w:val="0"/>
      <w:marBottom w:val="0"/>
      <w:divBdr>
        <w:top w:val="none" w:sz="0" w:space="0" w:color="auto"/>
        <w:left w:val="none" w:sz="0" w:space="0" w:color="auto"/>
        <w:bottom w:val="none" w:sz="0" w:space="0" w:color="auto"/>
        <w:right w:val="none" w:sz="0" w:space="0" w:color="auto"/>
      </w:divBdr>
    </w:div>
    <w:div w:id="2060083736">
      <w:bodyDiv w:val="1"/>
      <w:marLeft w:val="0"/>
      <w:marRight w:val="0"/>
      <w:marTop w:val="0"/>
      <w:marBottom w:val="0"/>
      <w:divBdr>
        <w:top w:val="none" w:sz="0" w:space="0" w:color="auto"/>
        <w:left w:val="none" w:sz="0" w:space="0" w:color="auto"/>
        <w:bottom w:val="none" w:sz="0" w:space="0" w:color="auto"/>
        <w:right w:val="none" w:sz="0" w:space="0" w:color="auto"/>
      </w:divBdr>
    </w:div>
    <w:div w:id="209801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obal.gotomeeting.com/join/790820565" TargetMode="External"/><Relationship Id="rId13" Type="http://schemas.openxmlformats.org/officeDocument/2006/relationships/hyperlink" Target="http://grids.ucs.indiana.edu/ptliupages/publications/NISTUseCase.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rids.ucs.indiana.edu/ptliupages/publications/OgrePaperv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ascale.org/bdec/sites/www.exascale.org.bdec/files/whitepapers/fox.pdf" TargetMode="External"/><Relationship Id="rId5" Type="http://schemas.openxmlformats.org/officeDocument/2006/relationships/webSettings" Target="webSettings.xml"/><Relationship Id="rId15" Type="http://schemas.openxmlformats.org/officeDocument/2006/relationships/hyperlink" Target="http://csrc.nist.gov/publications/drafts/nistir-8062/nistir_8062_draft.pdf" TargetMode="External"/><Relationship Id="rId10" Type="http://schemas.openxmlformats.org/officeDocument/2006/relationships/hyperlink" Target="http://grids.ucs.indiana.edu/ptliupages/publications/nist-hpc-abds.pdf" TargetMode="External"/><Relationship Id="rId4" Type="http://schemas.openxmlformats.org/officeDocument/2006/relationships/settings" Target="settings.xml"/><Relationship Id="rId9" Type="http://schemas.openxmlformats.org/officeDocument/2006/relationships/hyperlink" Target="http://arxiv.org/abs/1403.1528" TargetMode="External"/><Relationship Id="rId14" Type="http://schemas.openxmlformats.org/officeDocument/2006/relationships/hyperlink" Target="http://bigdataopensourceprojects.soic.indiana.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CF51A-CCD6-40F0-ABDF-0B2515DDE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1838</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 Chang</dc:creator>
  <cp:lastModifiedBy>Wo Chang</cp:lastModifiedBy>
  <cp:revision>2</cp:revision>
  <dcterms:created xsi:type="dcterms:W3CDTF">2016-02-09T14:45:00Z</dcterms:created>
  <dcterms:modified xsi:type="dcterms:W3CDTF">2016-02-09T14:45:00Z</dcterms:modified>
</cp:coreProperties>
</file>